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E2EE2" w14:textId="07AA6F6C" w:rsidR="00A076B4" w:rsidRPr="00E50844" w:rsidRDefault="00A076B4" w:rsidP="00A076B4">
      <w:pPr>
        <w:pStyle w:val="Nadpis1"/>
      </w:pPr>
      <w:r>
        <w:t xml:space="preserve">Příloha č. 1 - </w:t>
      </w:r>
      <w:r w:rsidRPr="00E50844">
        <w:t>Technologie v</w:t>
      </w:r>
      <w:r>
        <w:t> </w:t>
      </w:r>
      <w:r w:rsidRPr="00E50844">
        <w:t>budovách</w:t>
      </w:r>
      <w:r>
        <w:t xml:space="preserve"> – novostavby i rekonstrukce</w:t>
      </w:r>
    </w:p>
    <w:p w14:paraId="3F495FDB" w14:textId="77777777" w:rsidR="00A076B4" w:rsidRPr="00E50844" w:rsidRDefault="00A076B4" w:rsidP="00A076B4">
      <w:pPr>
        <w:spacing w:before="240" w:after="0"/>
        <w:rPr>
          <w:rFonts w:cstheme="minorHAnsi"/>
          <w:b/>
        </w:rPr>
      </w:pPr>
      <w:r w:rsidRPr="00E50844">
        <w:rPr>
          <w:rFonts w:cstheme="minorHAnsi"/>
          <w:b/>
        </w:rPr>
        <w:t>Čištění šedé vody</w:t>
      </w:r>
      <w:r>
        <w:rPr>
          <w:rFonts w:cstheme="minorHAnsi"/>
          <w:b/>
        </w:rPr>
        <w:tab/>
      </w:r>
      <w:r>
        <w:rPr>
          <w:rFonts w:cstheme="minorHAnsi"/>
          <w:b/>
        </w:rPr>
        <w:tab/>
      </w:r>
      <w:r>
        <w:rPr>
          <w:rFonts w:cstheme="minorHAnsi"/>
          <w:b/>
        </w:rPr>
        <w:tab/>
      </w:r>
      <w:r>
        <w:rPr>
          <w:rFonts w:cstheme="minorHAnsi"/>
          <w:b/>
        </w:rPr>
        <w:tab/>
      </w:r>
      <w:r>
        <w:rPr>
          <w:rFonts w:cstheme="minorHAnsi"/>
          <w:b/>
        </w:rPr>
        <w:tab/>
        <w:t>Doporučené hodnoty</w:t>
      </w:r>
      <w:r>
        <w:rPr>
          <w:rFonts w:cstheme="minorHAnsi"/>
          <w:b/>
        </w:rPr>
        <w:tab/>
      </w:r>
      <w:r>
        <w:rPr>
          <w:rFonts w:cstheme="minorHAnsi"/>
          <w:b/>
        </w:rPr>
        <w:tab/>
      </w:r>
      <w:r>
        <w:rPr>
          <w:rFonts w:cstheme="minorHAnsi"/>
          <w:b/>
        </w:rPr>
        <w:tab/>
      </w:r>
      <w:r>
        <w:rPr>
          <w:rFonts w:cstheme="minorHAnsi"/>
          <w:b/>
        </w:rPr>
        <w:tab/>
      </w:r>
      <w:r>
        <w:rPr>
          <w:rFonts w:cstheme="minorHAnsi"/>
          <w:b/>
        </w:rPr>
        <w:tab/>
      </w:r>
      <w:r w:rsidRPr="00E50844">
        <w:rPr>
          <w:rFonts w:cstheme="minorHAnsi"/>
          <w:b/>
        </w:rPr>
        <w:t>Na co se zaměřit</w:t>
      </w:r>
    </w:p>
    <w:tbl>
      <w:tblPr>
        <w:tblStyle w:val="Mkatabulky"/>
        <w:tblW w:w="14312" w:type="dxa"/>
        <w:tblLook w:val="04A0" w:firstRow="1" w:lastRow="0" w:firstColumn="1" w:lastColumn="0" w:noHBand="0" w:noVBand="1"/>
      </w:tblPr>
      <w:tblGrid>
        <w:gridCol w:w="4673"/>
        <w:gridCol w:w="4961"/>
        <w:gridCol w:w="4678"/>
      </w:tblGrid>
      <w:tr w:rsidR="00A076B4" w:rsidRPr="00E50844" w14:paraId="24BE256A" w14:textId="77777777" w:rsidTr="0008103C">
        <w:tc>
          <w:tcPr>
            <w:tcW w:w="4673" w:type="dxa"/>
          </w:tcPr>
          <w:p w14:paraId="7CEF2088" w14:textId="77777777" w:rsidR="00A076B4" w:rsidRPr="00E50844" w:rsidRDefault="00A076B4" w:rsidP="0008103C">
            <w:pPr>
              <w:jc w:val="both"/>
              <w:rPr>
                <w:rFonts w:cstheme="minorHAnsi"/>
              </w:rPr>
            </w:pPr>
            <w:r w:rsidRPr="00E50844">
              <w:t>Šedá voda je odpadní voda z umyvadel, sprch nebo van, která neobsahuje fekálie ani výrazné množství nebezpečných látek. Po úpravě a</w:t>
            </w:r>
            <w:r>
              <w:t> vyčištění</w:t>
            </w:r>
            <w:r w:rsidRPr="00E50844">
              <w:t xml:space="preserve"> ji lze znovu využít.</w:t>
            </w:r>
          </w:p>
        </w:tc>
        <w:tc>
          <w:tcPr>
            <w:tcW w:w="4961" w:type="dxa"/>
          </w:tcPr>
          <w:p w14:paraId="7CC008A6" w14:textId="77777777" w:rsidR="00A076B4" w:rsidRPr="000550DE" w:rsidRDefault="00A076B4" w:rsidP="0008103C">
            <w:pPr>
              <w:jc w:val="both"/>
              <w:rPr>
                <w:rFonts w:cstheme="minorHAnsi"/>
              </w:rPr>
            </w:pPr>
            <w:r w:rsidRPr="000550DE">
              <w:rPr>
                <w:rFonts w:cstheme="minorHAnsi"/>
              </w:rPr>
              <w:t>Případné využití u novostavby, z</w:t>
            </w:r>
            <w:r>
              <w:rPr>
                <w:rFonts w:cstheme="minorHAnsi"/>
              </w:rPr>
              <w:t>á</w:t>
            </w:r>
            <w:r w:rsidRPr="000550DE">
              <w:rPr>
                <w:rFonts w:cstheme="minorHAnsi"/>
              </w:rPr>
              <w:t>leží na vhodnosti a</w:t>
            </w:r>
            <w:r>
              <w:rPr>
                <w:rFonts w:cstheme="minorHAnsi"/>
              </w:rPr>
              <w:t> </w:t>
            </w:r>
            <w:r w:rsidRPr="000550DE">
              <w:rPr>
                <w:rFonts w:cstheme="minorHAnsi"/>
              </w:rPr>
              <w:t>ekonomice projektu.</w:t>
            </w:r>
          </w:p>
          <w:p w14:paraId="6E18C342" w14:textId="77777777" w:rsidR="00A076B4" w:rsidRPr="000550DE" w:rsidRDefault="00A076B4" w:rsidP="0008103C">
            <w:pPr>
              <w:jc w:val="both"/>
              <w:rPr>
                <w:rFonts w:cstheme="minorHAnsi"/>
              </w:rPr>
            </w:pPr>
          </w:p>
          <w:p w14:paraId="4707BE07" w14:textId="77777777" w:rsidR="00A076B4" w:rsidRPr="000550DE" w:rsidRDefault="00A076B4" w:rsidP="0008103C">
            <w:pPr>
              <w:jc w:val="both"/>
              <w:rPr>
                <w:rFonts w:cstheme="minorHAnsi"/>
              </w:rPr>
            </w:pPr>
            <w:r w:rsidRPr="000550DE">
              <w:t>Není primárním cílem navrhovat za každou cenu.</w:t>
            </w:r>
          </w:p>
          <w:p w14:paraId="0F11E08C" w14:textId="77777777" w:rsidR="00A076B4" w:rsidRPr="00E50844" w:rsidRDefault="00A076B4" w:rsidP="0008103C">
            <w:pPr>
              <w:jc w:val="center"/>
              <w:rPr>
                <w:rFonts w:cstheme="minorHAnsi"/>
                <w:b/>
                <w:bCs/>
              </w:rPr>
            </w:pPr>
          </w:p>
        </w:tc>
        <w:tc>
          <w:tcPr>
            <w:tcW w:w="4678" w:type="dxa"/>
          </w:tcPr>
          <w:p w14:paraId="3BE011B5" w14:textId="77777777" w:rsidR="00A076B4" w:rsidRDefault="00A076B4" w:rsidP="0008103C">
            <w:pPr>
              <w:jc w:val="both"/>
            </w:pPr>
            <w:r w:rsidRPr="00E50844">
              <w:t>• Ověřit prostorové možnosti a technické podmínky pro instalaci systému čištění a rozvodu šedé vody.</w:t>
            </w:r>
          </w:p>
          <w:p w14:paraId="1E142519" w14:textId="77777777" w:rsidR="00A076B4" w:rsidRPr="002452BD" w:rsidRDefault="00A076B4" w:rsidP="00A076B4">
            <w:pPr>
              <w:pStyle w:val="Odstavecseseznamem"/>
              <w:numPr>
                <w:ilvl w:val="0"/>
                <w:numId w:val="2"/>
              </w:numPr>
              <w:spacing w:line="240" w:lineRule="auto"/>
              <w:jc w:val="both"/>
              <w:rPr>
                <w:rFonts w:cstheme="minorHAnsi"/>
              </w:rPr>
            </w:pPr>
            <w:r w:rsidRPr="002452BD">
              <w:rPr>
                <w:rFonts w:cstheme="minorHAnsi"/>
              </w:rPr>
              <w:t xml:space="preserve">možnost napojení na stávající vnitřní kanalizaci, </w:t>
            </w:r>
          </w:p>
          <w:p w14:paraId="05DFE97B" w14:textId="77777777" w:rsidR="00A076B4" w:rsidRPr="002953C6" w:rsidRDefault="00A076B4" w:rsidP="00A076B4">
            <w:pPr>
              <w:pStyle w:val="Odstavecseseznamem"/>
              <w:numPr>
                <w:ilvl w:val="0"/>
                <w:numId w:val="2"/>
              </w:numPr>
              <w:spacing w:line="240" w:lineRule="auto"/>
              <w:jc w:val="both"/>
              <w:rPr>
                <w:rFonts w:cstheme="minorHAnsi"/>
              </w:rPr>
            </w:pPr>
            <w:r w:rsidRPr="002953C6">
              <w:rPr>
                <w:rFonts w:cstheme="minorHAnsi"/>
              </w:rPr>
              <w:t xml:space="preserve">investiční náklady, </w:t>
            </w:r>
          </w:p>
          <w:p w14:paraId="7A0CCC67" w14:textId="77777777" w:rsidR="00A076B4" w:rsidRPr="002953C6" w:rsidRDefault="00A076B4" w:rsidP="00A076B4">
            <w:pPr>
              <w:pStyle w:val="Odstavecseseznamem"/>
              <w:numPr>
                <w:ilvl w:val="0"/>
                <w:numId w:val="2"/>
              </w:numPr>
              <w:spacing w:line="240" w:lineRule="auto"/>
              <w:jc w:val="both"/>
              <w:rPr>
                <w:rFonts w:cstheme="minorHAnsi"/>
              </w:rPr>
            </w:pPr>
            <w:r w:rsidRPr="002953C6">
              <w:rPr>
                <w:rFonts w:cstheme="minorHAnsi"/>
              </w:rPr>
              <w:t>provozní náklady (energie, servis),</w:t>
            </w:r>
          </w:p>
          <w:p w14:paraId="580A7883" w14:textId="77777777" w:rsidR="00A076B4" w:rsidRPr="00E50844" w:rsidRDefault="00A076B4" w:rsidP="0008103C">
            <w:pPr>
              <w:pStyle w:val="Odstavecseseznamem"/>
              <w:jc w:val="both"/>
              <w:rPr>
                <w:rFonts w:cstheme="minorHAnsi"/>
              </w:rPr>
            </w:pPr>
          </w:p>
        </w:tc>
      </w:tr>
    </w:tbl>
    <w:p w14:paraId="2DAE1599" w14:textId="77777777" w:rsidR="00A076B4" w:rsidRPr="00FB20E8" w:rsidRDefault="00A076B4" w:rsidP="00A076B4">
      <w:pPr>
        <w:spacing w:before="240" w:after="0"/>
        <w:rPr>
          <w:rFonts w:cstheme="minorHAnsi"/>
          <w:b/>
        </w:rPr>
      </w:pPr>
      <w:r w:rsidRPr="00E50844">
        <w:rPr>
          <w:rFonts w:cstheme="minorHAnsi"/>
          <w:b/>
        </w:rPr>
        <w:t>Akumulace dešťové vody</w:t>
      </w:r>
    </w:p>
    <w:tbl>
      <w:tblPr>
        <w:tblStyle w:val="Mkatabulky"/>
        <w:tblW w:w="14312" w:type="dxa"/>
        <w:tblLook w:val="04A0" w:firstRow="1" w:lastRow="0" w:firstColumn="1" w:lastColumn="0" w:noHBand="0" w:noVBand="1"/>
      </w:tblPr>
      <w:tblGrid>
        <w:gridCol w:w="4673"/>
        <w:gridCol w:w="4961"/>
        <w:gridCol w:w="4678"/>
      </w:tblGrid>
      <w:tr w:rsidR="00A076B4" w:rsidRPr="00E50844" w14:paraId="54521BF4" w14:textId="77777777" w:rsidTr="0008103C">
        <w:tc>
          <w:tcPr>
            <w:tcW w:w="4673" w:type="dxa"/>
          </w:tcPr>
          <w:p w14:paraId="0A7F4A01" w14:textId="77777777" w:rsidR="00A076B4" w:rsidRPr="00E50844" w:rsidRDefault="00A076B4" w:rsidP="0008103C">
            <w:pPr>
              <w:jc w:val="both"/>
              <w:rPr>
                <w:rFonts w:cstheme="minorHAnsi"/>
              </w:rPr>
            </w:pPr>
            <w:r>
              <w:t>Střešní plášť jako takový disponuje velkou plochou, kterou je možno využít</w:t>
            </w:r>
            <w:r w:rsidRPr="00E50844">
              <w:t xml:space="preserve"> </w:t>
            </w:r>
            <w:r>
              <w:t>pro zadržení</w:t>
            </w:r>
            <w:r w:rsidRPr="00E50844">
              <w:t xml:space="preserve"> dešťové vody </w:t>
            </w:r>
            <w:r>
              <w:t>s následnou akumulací v nádržích.</w:t>
            </w:r>
            <w:r w:rsidRPr="00E50844">
              <w:t xml:space="preserve"> </w:t>
            </w:r>
            <w:r>
              <w:t xml:space="preserve">Při návrhu je žádoucí zaměřit se </w:t>
            </w:r>
            <w:r w:rsidRPr="00E50844">
              <w:t>na polohu svodů a jejich napojení</w:t>
            </w:r>
            <w:r>
              <w:t xml:space="preserve"> a umístění AKU nádrže v blízkosti objektu.</w:t>
            </w:r>
          </w:p>
        </w:tc>
        <w:tc>
          <w:tcPr>
            <w:tcW w:w="4961" w:type="dxa"/>
          </w:tcPr>
          <w:p w14:paraId="5046BD69" w14:textId="77777777" w:rsidR="00A076B4" w:rsidRPr="000F6412" w:rsidRDefault="00A076B4" w:rsidP="0008103C">
            <w:pPr>
              <w:jc w:val="both"/>
              <w:rPr>
                <w:rFonts w:cstheme="minorHAnsi"/>
              </w:rPr>
            </w:pPr>
            <w:r w:rsidRPr="000F6412">
              <w:t>Akumulace dešťové vody snižuje spotřebu pitné vody v objektu. Její využití v energeticky úsporných objektech by mělo být standar</w:t>
            </w:r>
            <w:r>
              <w:t>d</w:t>
            </w:r>
            <w:r w:rsidRPr="000F6412">
              <w:t>em. U</w:t>
            </w:r>
            <w:r>
              <w:t xml:space="preserve"> rekonstrukcí</w:t>
            </w:r>
            <w:r w:rsidRPr="000F6412">
              <w:t xml:space="preserve"> budov je na zvážení, zda je možnost využití akumulace dešťové vody technologicky a</w:t>
            </w:r>
            <w:r>
              <w:t xml:space="preserve"> zejména</w:t>
            </w:r>
            <w:r w:rsidRPr="000F6412">
              <w:t xml:space="preserve"> ekonomicky proveditelná.</w:t>
            </w:r>
          </w:p>
        </w:tc>
        <w:tc>
          <w:tcPr>
            <w:tcW w:w="4678" w:type="dxa"/>
          </w:tcPr>
          <w:p w14:paraId="44DD5610" w14:textId="77777777" w:rsidR="00A076B4" w:rsidRPr="00E50844" w:rsidRDefault="00A076B4" w:rsidP="0008103C">
            <w:r w:rsidRPr="00E50844">
              <w:t>• Zpracovat rozvahu i s přihlédnutím k potenciální spotřebě užitkové vody.</w:t>
            </w:r>
          </w:p>
          <w:p w14:paraId="7A3B7362" w14:textId="77777777" w:rsidR="00A076B4" w:rsidRPr="00CC45F5" w:rsidRDefault="00A076B4" w:rsidP="00A076B4">
            <w:pPr>
              <w:pStyle w:val="Odstavecseseznamem"/>
              <w:numPr>
                <w:ilvl w:val="0"/>
                <w:numId w:val="1"/>
              </w:numPr>
              <w:spacing w:line="240" w:lineRule="auto"/>
              <w:ind w:left="173" w:hanging="142"/>
            </w:pPr>
            <w:r w:rsidRPr="00CC45F5">
              <w:t>Filtrace a předčištění.</w:t>
            </w:r>
          </w:p>
          <w:p w14:paraId="55C6730E" w14:textId="77777777" w:rsidR="00A076B4" w:rsidRPr="00CC45F5" w:rsidRDefault="00A076B4" w:rsidP="00A076B4">
            <w:pPr>
              <w:pStyle w:val="Odstavecseseznamem"/>
              <w:numPr>
                <w:ilvl w:val="0"/>
                <w:numId w:val="1"/>
              </w:numPr>
              <w:spacing w:line="240" w:lineRule="auto"/>
              <w:ind w:left="173" w:hanging="142"/>
            </w:pPr>
            <w:r w:rsidRPr="00CC45F5">
              <w:t>Dimenzování nádrže</w:t>
            </w:r>
            <w:r>
              <w:t xml:space="preserve"> s bezpečnostním přepadem k odvedení vod do kanalizace nebo do vsaku</w:t>
            </w:r>
          </w:p>
          <w:p w14:paraId="3938D50D" w14:textId="77777777" w:rsidR="00A076B4" w:rsidRPr="00E50844" w:rsidRDefault="00A076B4" w:rsidP="0008103C">
            <w:pPr>
              <w:rPr>
                <w:rFonts w:cstheme="minorHAnsi"/>
              </w:rPr>
            </w:pPr>
          </w:p>
        </w:tc>
      </w:tr>
    </w:tbl>
    <w:p w14:paraId="6D073D60" w14:textId="77777777" w:rsidR="00A076B4" w:rsidRPr="00E50844" w:rsidRDefault="00A076B4" w:rsidP="00A076B4">
      <w:pPr>
        <w:spacing w:before="240" w:after="0"/>
        <w:rPr>
          <w:rFonts w:cstheme="minorHAnsi"/>
          <w:b/>
        </w:rPr>
      </w:pPr>
      <w:r w:rsidRPr="00E50844">
        <w:rPr>
          <w:rFonts w:cstheme="minorHAnsi"/>
          <w:b/>
        </w:rPr>
        <w:t>Využití užitkové vody</w:t>
      </w:r>
    </w:p>
    <w:tbl>
      <w:tblPr>
        <w:tblStyle w:val="Mkatabulky"/>
        <w:tblW w:w="14312" w:type="dxa"/>
        <w:tblLook w:val="04A0" w:firstRow="1" w:lastRow="0" w:firstColumn="1" w:lastColumn="0" w:noHBand="0" w:noVBand="1"/>
      </w:tblPr>
      <w:tblGrid>
        <w:gridCol w:w="4673"/>
        <w:gridCol w:w="4961"/>
        <w:gridCol w:w="4678"/>
      </w:tblGrid>
      <w:tr w:rsidR="00A076B4" w:rsidRPr="00E50844" w14:paraId="35734C3C" w14:textId="77777777" w:rsidTr="0008103C">
        <w:tc>
          <w:tcPr>
            <w:tcW w:w="4673" w:type="dxa"/>
          </w:tcPr>
          <w:p w14:paraId="49CA6EA1" w14:textId="77777777" w:rsidR="00A076B4" w:rsidRPr="00E50844" w:rsidRDefault="00A076B4" w:rsidP="0008103C">
            <w:pPr>
              <w:jc w:val="both"/>
              <w:rPr>
                <w:rFonts w:cstheme="minorHAnsi"/>
              </w:rPr>
            </w:pPr>
            <w:r w:rsidRPr="00E50844">
              <w:t>Užitková voda může pocházet z více zdrojů – typicky ze systému čištění šedé vody, akumulace dešťové vody nebo z vlastní studny. Po</w:t>
            </w:r>
            <w:r>
              <w:t xml:space="preserve"> odpovídající</w:t>
            </w:r>
            <w:r w:rsidRPr="00E50844">
              <w:t xml:space="preserve"> úpravě je vhodná pro technické účely, jako je splachování toalet, úklid, praní nebo závlaha zeleně. Pro její efektivní využití je </w:t>
            </w:r>
            <w:r w:rsidRPr="00E50844">
              <w:lastRenderedPageBreak/>
              <w:t>nutné mít připraveny dvojité rozvody oddělující pitnou a</w:t>
            </w:r>
            <w:r>
              <w:t> užitkovou</w:t>
            </w:r>
            <w:r w:rsidRPr="00E50844">
              <w:t xml:space="preserve"> vodu.</w:t>
            </w:r>
          </w:p>
        </w:tc>
        <w:tc>
          <w:tcPr>
            <w:tcW w:w="4961" w:type="dxa"/>
          </w:tcPr>
          <w:p w14:paraId="7602FFE9" w14:textId="77777777" w:rsidR="00A076B4" w:rsidRPr="000550DE" w:rsidRDefault="00A076B4" w:rsidP="0008103C">
            <w:pPr>
              <w:jc w:val="both"/>
              <w:rPr>
                <w:rFonts w:cstheme="minorHAnsi"/>
              </w:rPr>
            </w:pPr>
            <w:r w:rsidRPr="000550DE">
              <w:rPr>
                <w:rFonts w:cstheme="minorHAnsi"/>
              </w:rPr>
              <w:lastRenderedPageBreak/>
              <w:t>V případě, že objekty disponují vlastní studnou s dostatečnou vydatností, je možné uvažovat o realizac</w:t>
            </w:r>
            <w:r>
              <w:rPr>
                <w:rFonts w:cstheme="minorHAnsi"/>
              </w:rPr>
              <w:t>i</w:t>
            </w:r>
            <w:r w:rsidRPr="000550DE">
              <w:rPr>
                <w:rFonts w:cstheme="minorHAnsi"/>
              </w:rPr>
              <w:t xml:space="preserve"> (např. </w:t>
            </w:r>
            <w:r>
              <w:rPr>
                <w:rFonts w:cstheme="minorHAnsi"/>
              </w:rPr>
              <w:t xml:space="preserve">pro </w:t>
            </w:r>
            <w:r w:rsidRPr="000550DE">
              <w:rPr>
                <w:rFonts w:cstheme="minorHAnsi"/>
              </w:rPr>
              <w:t>splachování toalet)</w:t>
            </w:r>
            <w:r>
              <w:rPr>
                <w:rFonts w:cstheme="minorHAnsi"/>
              </w:rPr>
              <w:t>.</w:t>
            </w:r>
          </w:p>
        </w:tc>
        <w:tc>
          <w:tcPr>
            <w:tcW w:w="4678" w:type="dxa"/>
          </w:tcPr>
          <w:p w14:paraId="6C207D49" w14:textId="77777777" w:rsidR="00A076B4" w:rsidRPr="00E50844" w:rsidRDefault="00A076B4" w:rsidP="0008103C">
            <w:pPr>
              <w:jc w:val="both"/>
              <w:rPr>
                <w:rFonts w:cstheme="minorHAnsi"/>
              </w:rPr>
            </w:pPr>
            <w:r w:rsidRPr="00E50844">
              <w:t>• Ověřit prostorové možnosti a technické podmínky pro instalaci akumulační nádrže potřebného objemu.</w:t>
            </w:r>
          </w:p>
        </w:tc>
      </w:tr>
    </w:tbl>
    <w:p w14:paraId="0E5DBB48" w14:textId="77777777" w:rsidR="00A076B4" w:rsidRDefault="00A076B4" w:rsidP="00A076B4">
      <w:pPr>
        <w:rPr>
          <w:rFonts w:cstheme="minorHAnsi"/>
          <w:b/>
        </w:rPr>
      </w:pPr>
    </w:p>
    <w:p w14:paraId="3CE67FF7" w14:textId="77777777" w:rsidR="00A076B4" w:rsidRPr="00E50844" w:rsidRDefault="00A076B4" w:rsidP="00A076B4">
      <w:pPr>
        <w:spacing w:before="240" w:after="0"/>
        <w:rPr>
          <w:rFonts w:cstheme="minorHAnsi"/>
          <w:b/>
        </w:rPr>
      </w:pPr>
      <w:r w:rsidRPr="00E50844">
        <w:rPr>
          <w:rFonts w:cstheme="minorHAnsi"/>
          <w:b/>
        </w:rPr>
        <w:t>Spořiče pitné vody</w:t>
      </w:r>
      <w:r>
        <w:rPr>
          <w:rFonts w:cstheme="minorHAnsi"/>
          <w:b/>
        </w:rPr>
        <w:tab/>
      </w:r>
      <w:r>
        <w:rPr>
          <w:rFonts w:cstheme="minorHAnsi"/>
          <w:b/>
        </w:rPr>
        <w:tab/>
      </w:r>
      <w:r>
        <w:rPr>
          <w:rFonts w:cstheme="minorHAnsi"/>
          <w:b/>
        </w:rPr>
        <w:tab/>
      </w:r>
      <w:r>
        <w:rPr>
          <w:rFonts w:cstheme="minorHAnsi"/>
          <w:b/>
        </w:rPr>
        <w:tab/>
      </w:r>
      <w:r>
        <w:rPr>
          <w:rFonts w:cstheme="minorHAnsi"/>
          <w:b/>
        </w:rPr>
        <w:tab/>
        <w:t>Doporučené hodnoty</w:t>
      </w:r>
      <w:r>
        <w:rPr>
          <w:rFonts w:cstheme="minorHAnsi"/>
          <w:b/>
        </w:rPr>
        <w:tab/>
      </w:r>
      <w:r>
        <w:rPr>
          <w:rFonts w:cstheme="minorHAnsi"/>
          <w:b/>
        </w:rPr>
        <w:tab/>
      </w:r>
      <w:r>
        <w:rPr>
          <w:rFonts w:cstheme="minorHAnsi"/>
          <w:b/>
        </w:rPr>
        <w:tab/>
      </w:r>
      <w:r>
        <w:rPr>
          <w:rFonts w:cstheme="minorHAnsi"/>
          <w:b/>
        </w:rPr>
        <w:tab/>
      </w:r>
      <w:r>
        <w:rPr>
          <w:rFonts w:cstheme="minorHAnsi"/>
          <w:b/>
        </w:rPr>
        <w:tab/>
      </w:r>
      <w:r w:rsidRPr="00E50844">
        <w:rPr>
          <w:rFonts w:cstheme="minorHAnsi"/>
          <w:b/>
        </w:rPr>
        <w:t>Na co se zaměřit</w:t>
      </w:r>
    </w:p>
    <w:tbl>
      <w:tblPr>
        <w:tblStyle w:val="Mkatabulky"/>
        <w:tblW w:w="14312" w:type="dxa"/>
        <w:tblLook w:val="04A0" w:firstRow="1" w:lastRow="0" w:firstColumn="1" w:lastColumn="0" w:noHBand="0" w:noVBand="1"/>
      </w:tblPr>
      <w:tblGrid>
        <w:gridCol w:w="4673"/>
        <w:gridCol w:w="4961"/>
        <w:gridCol w:w="4678"/>
      </w:tblGrid>
      <w:tr w:rsidR="00A076B4" w:rsidRPr="00E50844" w14:paraId="53E756E2" w14:textId="77777777" w:rsidTr="0008103C">
        <w:tc>
          <w:tcPr>
            <w:tcW w:w="4673" w:type="dxa"/>
          </w:tcPr>
          <w:p w14:paraId="71C7F328" w14:textId="77777777" w:rsidR="00A076B4" w:rsidRPr="00E50844" w:rsidRDefault="00A076B4" w:rsidP="0008103C">
            <w:pPr>
              <w:jc w:val="both"/>
              <w:rPr>
                <w:rFonts w:cstheme="minorHAnsi"/>
              </w:rPr>
            </w:pPr>
            <w:r w:rsidRPr="00E50844">
              <w:t>Spořiče vody jsou jednoduchá a cenově dostupná zařízení, která omezují průtok pitné vody, aniž by snižovala uživatelský komfort. Patří sem například perlátory na vodovodních bateriích, úsporné sprchové hlavice nebo armatury s automatickým zavíráním.</w:t>
            </w:r>
          </w:p>
        </w:tc>
        <w:tc>
          <w:tcPr>
            <w:tcW w:w="4961" w:type="dxa"/>
          </w:tcPr>
          <w:p w14:paraId="1EC829DD" w14:textId="77777777" w:rsidR="00A076B4" w:rsidRPr="000550DE" w:rsidRDefault="00A076B4" w:rsidP="0008103C">
            <w:pPr>
              <w:jc w:val="both"/>
              <w:rPr>
                <w:rFonts w:cstheme="minorHAnsi"/>
              </w:rPr>
            </w:pPr>
            <w:r w:rsidRPr="000550DE">
              <w:rPr>
                <w:rFonts w:cstheme="minorHAnsi"/>
              </w:rPr>
              <w:t>Při realizaci projektu navrhovat vždy.</w:t>
            </w:r>
          </w:p>
        </w:tc>
        <w:tc>
          <w:tcPr>
            <w:tcW w:w="4678" w:type="dxa"/>
          </w:tcPr>
          <w:p w14:paraId="7FFABF26" w14:textId="77777777" w:rsidR="00A076B4" w:rsidRDefault="00A076B4" w:rsidP="0008103C">
            <w:pPr>
              <w:jc w:val="both"/>
            </w:pPr>
            <w:r w:rsidRPr="00E50844">
              <w:t>• Kontrolovat a čistit spořiče pro zachování jejich účinnosti.</w:t>
            </w:r>
          </w:p>
          <w:p w14:paraId="51841A07" w14:textId="77777777" w:rsidR="00A076B4" w:rsidRPr="00E5380F" w:rsidRDefault="00A076B4" w:rsidP="00A076B4">
            <w:pPr>
              <w:pStyle w:val="Odstavecseseznamem"/>
              <w:numPr>
                <w:ilvl w:val="0"/>
                <w:numId w:val="4"/>
              </w:numPr>
              <w:spacing w:line="240" w:lineRule="auto"/>
              <w:jc w:val="both"/>
              <w:rPr>
                <w:rFonts w:cstheme="minorHAnsi"/>
              </w:rPr>
            </w:pPr>
            <w:r>
              <w:rPr>
                <w:rFonts w:cstheme="minorHAnsi"/>
              </w:rPr>
              <w:t>Zkontrolovat vhodnost spořičů pro stávající typy baterií a tlakové poměry v rozvodech</w:t>
            </w:r>
          </w:p>
        </w:tc>
      </w:tr>
    </w:tbl>
    <w:p w14:paraId="6CFCFBDC" w14:textId="77777777" w:rsidR="00A076B4" w:rsidRPr="00FB20E8" w:rsidRDefault="00A076B4" w:rsidP="00A076B4">
      <w:pPr>
        <w:spacing w:before="240" w:after="0"/>
        <w:rPr>
          <w:rFonts w:cstheme="minorHAnsi"/>
          <w:b/>
        </w:rPr>
      </w:pPr>
      <w:r w:rsidRPr="00E50844">
        <w:rPr>
          <w:rFonts w:cstheme="minorHAnsi"/>
          <w:b/>
        </w:rPr>
        <w:t>Větrání</w:t>
      </w:r>
      <w:r>
        <w:rPr>
          <w:rFonts w:cstheme="minorHAnsi"/>
          <w:b/>
        </w:rPr>
        <w:tab/>
      </w:r>
    </w:p>
    <w:tbl>
      <w:tblPr>
        <w:tblStyle w:val="Mkatabulky"/>
        <w:tblW w:w="14312" w:type="dxa"/>
        <w:tblLook w:val="04A0" w:firstRow="1" w:lastRow="0" w:firstColumn="1" w:lastColumn="0" w:noHBand="0" w:noVBand="1"/>
      </w:tblPr>
      <w:tblGrid>
        <w:gridCol w:w="4673"/>
        <w:gridCol w:w="4961"/>
        <w:gridCol w:w="4678"/>
      </w:tblGrid>
      <w:tr w:rsidR="00A076B4" w:rsidRPr="000550DE" w14:paraId="5E525901" w14:textId="77777777" w:rsidTr="0008103C">
        <w:tc>
          <w:tcPr>
            <w:tcW w:w="4673" w:type="dxa"/>
          </w:tcPr>
          <w:p w14:paraId="40570602" w14:textId="77777777" w:rsidR="00A076B4" w:rsidRPr="000550DE" w:rsidRDefault="00A076B4" w:rsidP="0008103C">
            <w:pPr>
              <w:jc w:val="both"/>
              <w:rPr>
                <w:rFonts w:cstheme="minorHAnsi"/>
              </w:rPr>
            </w:pPr>
            <w:r w:rsidRPr="000550DE">
              <w:t>Současný vývoj ve stavebnictví směřuje k maximálnímu utěsnění obálky budovy, což významně omezuje přirozenou výměnu vzduchu. V rámci návrhu novostavby nebo rekonstrukce objektu musí být splněny normové požadavky na minimální hygienickou výměnu vzduchu. Budovy tak stále častěji budou vyžadovat instalaci systému nuceného větrání, aby kvalita vnitřního prostředí byla dlouhodobě udržitelná.</w:t>
            </w:r>
          </w:p>
        </w:tc>
        <w:tc>
          <w:tcPr>
            <w:tcW w:w="4961" w:type="dxa"/>
          </w:tcPr>
          <w:p w14:paraId="658E4188" w14:textId="77777777" w:rsidR="00A076B4" w:rsidRPr="000550DE" w:rsidRDefault="00A076B4" w:rsidP="0008103C">
            <w:pPr>
              <w:jc w:val="both"/>
              <w:rPr>
                <w:rFonts w:cstheme="minorHAnsi"/>
              </w:rPr>
            </w:pPr>
            <w:r w:rsidRPr="000550DE">
              <w:t>V rámci novostaveb a rekonstrukcí počítat s návrhem nuceného větrání.</w:t>
            </w:r>
          </w:p>
        </w:tc>
        <w:tc>
          <w:tcPr>
            <w:tcW w:w="4678" w:type="dxa"/>
          </w:tcPr>
          <w:p w14:paraId="1D74F133" w14:textId="77777777" w:rsidR="00A076B4" w:rsidRPr="000550DE" w:rsidRDefault="00A076B4" w:rsidP="0008103C">
            <w:pPr>
              <w:jc w:val="both"/>
            </w:pPr>
            <w:r w:rsidRPr="000550DE">
              <w:t>• Zajistit, aby návrh splňoval hygienické požadavky na výměnu vzduchu.</w:t>
            </w:r>
          </w:p>
          <w:p w14:paraId="2A55EF7F" w14:textId="77777777" w:rsidR="00A076B4" w:rsidRDefault="00A076B4" w:rsidP="0008103C">
            <w:pPr>
              <w:jc w:val="both"/>
            </w:pPr>
            <w:r w:rsidRPr="000550DE">
              <w:t>• Počítat s prostorovými nároky na rozvody a umístění jednotky.</w:t>
            </w:r>
          </w:p>
          <w:p w14:paraId="3DD196EE" w14:textId="77777777" w:rsidR="00A076B4" w:rsidRDefault="00A076B4" w:rsidP="00A076B4">
            <w:pPr>
              <w:pStyle w:val="Odstavecseseznamem"/>
              <w:numPr>
                <w:ilvl w:val="0"/>
                <w:numId w:val="4"/>
              </w:numPr>
              <w:spacing w:line="240" w:lineRule="auto"/>
              <w:jc w:val="both"/>
              <w:rPr>
                <w:rFonts w:cstheme="minorHAnsi"/>
              </w:rPr>
            </w:pPr>
            <w:r>
              <w:rPr>
                <w:rFonts w:cstheme="minorHAnsi"/>
              </w:rPr>
              <w:t>Správné dimenzování systému (objemové průtoky vzduchu, počet větracích jednotek, jejich rozmístění)</w:t>
            </w:r>
          </w:p>
          <w:p w14:paraId="2C98005A" w14:textId="77777777" w:rsidR="00A076B4" w:rsidRPr="00E5380F" w:rsidRDefault="00A076B4" w:rsidP="00A076B4">
            <w:pPr>
              <w:pStyle w:val="Odstavecseseznamem"/>
              <w:numPr>
                <w:ilvl w:val="0"/>
                <w:numId w:val="4"/>
              </w:numPr>
              <w:spacing w:line="240" w:lineRule="auto"/>
              <w:jc w:val="both"/>
              <w:rPr>
                <w:rFonts w:cstheme="minorHAnsi"/>
              </w:rPr>
            </w:pPr>
            <w:r>
              <w:rPr>
                <w:rFonts w:cstheme="minorHAnsi"/>
              </w:rPr>
              <w:t>Hlukové parametry</w:t>
            </w:r>
          </w:p>
        </w:tc>
      </w:tr>
    </w:tbl>
    <w:p w14:paraId="182D732D" w14:textId="77777777" w:rsidR="00A076B4" w:rsidRPr="000550DE" w:rsidRDefault="00A076B4" w:rsidP="00A076B4">
      <w:pPr>
        <w:spacing w:before="240" w:after="0"/>
        <w:rPr>
          <w:rFonts w:cstheme="minorHAnsi"/>
          <w:b/>
        </w:rPr>
      </w:pPr>
      <w:r w:rsidRPr="000550DE">
        <w:rPr>
          <w:rFonts w:cstheme="minorHAnsi"/>
          <w:b/>
        </w:rPr>
        <w:t>Rekuperace</w:t>
      </w:r>
    </w:p>
    <w:tbl>
      <w:tblPr>
        <w:tblStyle w:val="Mkatabulky"/>
        <w:tblW w:w="14312" w:type="dxa"/>
        <w:tblLook w:val="04A0" w:firstRow="1" w:lastRow="0" w:firstColumn="1" w:lastColumn="0" w:noHBand="0" w:noVBand="1"/>
      </w:tblPr>
      <w:tblGrid>
        <w:gridCol w:w="4673"/>
        <w:gridCol w:w="4961"/>
        <w:gridCol w:w="4678"/>
      </w:tblGrid>
      <w:tr w:rsidR="00A076B4" w:rsidRPr="00E50844" w14:paraId="097167EB" w14:textId="77777777" w:rsidTr="0008103C">
        <w:tc>
          <w:tcPr>
            <w:tcW w:w="4673" w:type="dxa"/>
          </w:tcPr>
          <w:p w14:paraId="22A849D6" w14:textId="77777777" w:rsidR="00A076B4" w:rsidRPr="000550DE" w:rsidRDefault="00A076B4" w:rsidP="0008103C">
            <w:pPr>
              <w:jc w:val="both"/>
              <w:rPr>
                <w:rFonts w:cstheme="minorHAnsi"/>
              </w:rPr>
            </w:pPr>
            <w:r w:rsidRPr="000550DE">
              <w:t>Rekuperace, tedy zpětné získávání tepla z</w:t>
            </w:r>
            <w:r>
              <w:t> </w:t>
            </w:r>
            <w:r w:rsidRPr="000550DE">
              <w:t xml:space="preserve">odpadních toků, je jedním z účinných způsobů, jak zlepšit energetickou efektivitu budovy. Nejčastěji se využívá v systémech nuceného větrání, kde umožňuje předat teplo z odváděného vzduchu přiváděnému čerstvému </w:t>
            </w:r>
            <w:r w:rsidRPr="000550DE">
              <w:lastRenderedPageBreak/>
              <w:t>vzduchu. Princip rekuperace lze ale uplatnit i u jiných technologií – např</w:t>
            </w:r>
            <w:r>
              <w:t>.</w:t>
            </w:r>
            <w:r w:rsidRPr="000550DE">
              <w:t xml:space="preserve"> při využití tepla z odpadní vody nebo z</w:t>
            </w:r>
            <w:r>
              <w:t> </w:t>
            </w:r>
            <w:r w:rsidRPr="000550DE">
              <w:t>odpadního tepla technologických procesů.</w:t>
            </w:r>
          </w:p>
        </w:tc>
        <w:tc>
          <w:tcPr>
            <w:tcW w:w="4961" w:type="dxa"/>
          </w:tcPr>
          <w:p w14:paraId="2D254AF8" w14:textId="77777777" w:rsidR="00A076B4" w:rsidRPr="000550DE" w:rsidRDefault="00A076B4" w:rsidP="0008103C">
            <w:pPr>
              <w:jc w:val="both"/>
              <w:rPr>
                <w:rFonts w:cstheme="minorHAnsi"/>
              </w:rPr>
            </w:pPr>
            <w:r w:rsidRPr="000550DE">
              <w:lastRenderedPageBreak/>
              <w:t>V rámci novostaveb a rekonstrukcí počítat s instalací rekuperační jednotky.</w:t>
            </w:r>
          </w:p>
        </w:tc>
        <w:tc>
          <w:tcPr>
            <w:tcW w:w="4678" w:type="dxa"/>
          </w:tcPr>
          <w:p w14:paraId="0AB9D6BA" w14:textId="77777777" w:rsidR="00A076B4" w:rsidRDefault="00A076B4" w:rsidP="0008103C">
            <w:pPr>
              <w:jc w:val="both"/>
            </w:pPr>
            <w:r w:rsidRPr="000550DE">
              <w:t>• Ověřit technickou proveditelnost a účinnost systému v konkrétních podmínkách budovy.</w:t>
            </w:r>
          </w:p>
          <w:p w14:paraId="166F4DC1" w14:textId="77777777" w:rsidR="00A076B4" w:rsidRDefault="00A076B4" w:rsidP="0008103C">
            <w:pPr>
              <w:jc w:val="both"/>
            </w:pPr>
            <w:r w:rsidRPr="000550DE">
              <w:t>• Zajistit prostorové a instalační možnosti pro začlenění technologie do stávajících rozvodů.</w:t>
            </w:r>
          </w:p>
          <w:p w14:paraId="470690B9" w14:textId="77777777" w:rsidR="00A076B4" w:rsidRDefault="00A076B4" w:rsidP="00A076B4">
            <w:pPr>
              <w:pStyle w:val="Odstavecseseznamem"/>
              <w:numPr>
                <w:ilvl w:val="0"/>
                <w:numId w:val="5"/>
              </w:numPr>
              <w:spacing w:line="240" w:lineRule="auto"/>
              <w:jc w:val="both"/>
              <w:rPr>
                <w:rFonts w:cstheme="minorHAnsi"/>
              </w:rPr>
            </w:pPr>
            <w:r>
              <w:rPr>
                <w:rFonts w:cstheme="minorHAnsi"/>
              </w:rPr>
              <w:t>Hlukové parametry</w:t>
            </w:r>
          </w:p>
          <w:p w14:paraId="61EAD81B" w14:textId="77777777" w:rsidR="00A076B4" w:rsidRPr="00E5380F" w:rsidRDefault="00A076B4" w:rsidP="00A076B4">
            <w:pPr>
              <w:pStyle w:val="Odstavecseseznamem"/>
              <w:numPr>
                <w:ilvl w:val="0"/>
                <w:numId w:val="5"/>
              </w:numPr>
              <w:spacing w:line="240" w:lineRule="auto"/>
              <w:jc w:val="both"/>
              <w:rPr>
                <w:rFonts w:cstheme="minorHAnsi"/>
              </w:rPr>
            </w:pPr>
            <w:r>
              <w:rPr>
                <w:rFonts w:cstheme="minorHAnsi"/>
              </w:rPr>
              <w:lastRenderedPageBreak/>
              <w:t>Koordinace s ostatními technologiemi (provázání s vytápěním, chlazením a nuceným větrání jako celek)</w:t>
            </w:r>
          </w:p>
        </w:tc>
      </w:tr>
    </w:tbl>
    <w:p w14:paraId="5EAC4942" w14:textId="77777777" w:rsidR="00A076B4" w:rsidRDefault="00A076B4" w:rsidP="00A076B4">
      <w:pPr>
        <w:rPr>
          <w:rFonts w:cstheme="minorHAnsi"/>
          <w:b/>
        </w:rPr>
      </w:pPr>
      <w:r>
        <w:rPr>
          <w:rFonts w:cstheme="minorHAnsi"/>
          <w:b/>
        </w:rPr>
        <w:lastRenderedPageBreak/>
        <w:br w:type="page"/>
      </w:r>
    </w:p>
    <w:p w14:paraId="12834D3C" w14:textId="77777777" w:rsidR="00A076B4" w:rsidRPr="00E50844" w:rsidRDefault="00A076B4" w:rsidP="00A076B4">
      <w:pPr>
        <w:spacing w:before="240" w:after="0"/>
        <w:rPr>
          <w:rFonts w:cstheme="minorHAnsi"/>
          <w:b/>
        </w:rPr>
      </w:pPr>
      <w:r w:rsidRPr="00E50844">
        <w:rPr>
          <w:rFonts w:cstheme="minorHAnsi"/>
          <w:b/>
        </w:rPr>
        <w:lastRenderedPageBreak/>
        <w:t>Chlazení</w:t>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t>Doporučené hodnoty</w:t>
      </w:r>
      <w:r>
        <w:rPr>
          <w:rFonts w:cstheme="minorHAnsi"/>
          <w:b/>
        </w:rPr>
        <w:tab/>
      </w:r>
      <w:r>
        <w:rPr>
          <w:rFonts w:cstheme="minorHAnsi"/>
          <w:b/>
        </w:rPr>
        <w:tab/>
      </w:r>
      <w:r>
        <w:rPr>
          <w:rFonts w:cstheme="minorHAnsi"/>
          <w:b/>
        </w:rPr>
        <w:tab/>
      </w:r>
      <w:r>
        <w:rPr>
          <w:rFonts w:cstheme="minorHAnsi"/>
          <w:b/>
        </w:rPr>
        <w:tab/>
      </w:r>
      <w:r>
        <w:rPr>
          <w:rFonts w:cstheme="minorHAnsi"/>
          <w:b/>
        </w:rPr>
        <w:tab/>
      </w:r>
      <w:r w:rsidRPr="00E50844">
        <w:rPr>
          <w:rFonts w:cstheme="minorHAnsi"/>
          <w:b/>
        </w:rPr>
        <w:t>Na co se zaměřit</w:t>
      </w:r>
    </w:p>
    <w:tbl>
      <w:tblPr>
        <w:tblStyle w:val="Mkatabulky"/>
        <w:tblW w:w="14312" w:type="dxa"/>
        <w:tblLook w:val="04A0" w:firstRow="1" w:lastRow="0" w:firstColumn="1" w:lastColumn="0" w:noHBand="0" w:noVBand="1"/>
      </w:tblPr>
      <w:tblGrid>
        <w:gridCol w:w="4673"/>
        <w:gridCol w:w="4961"/>
        <w:gridCol w:w="4678"/>
      </w:tblGrid>
      <w:tr w:rsidR="00A076B4" w:rsidRPr="00E50844" w14:paraId="0356175E" w14:textId="77777777" w:rsidTr="0008103C">
        <w:tc>
          <w:tcPr>
            <w:tcW w:w="4673" w:type="dxa"/>
          </w:tcPr>
          <w:p w14:paraId="5236AB9F" w14:textId="77777777" w:rsidR="00A076B4" w:rsidRPr="00E50844" w:rsidRDefault="00A076B4" w:rsidP="0008103C">
            <w:pPr>
              <w:jc w:val="both"/>
              <w:rPr>
                <w:rFonts w:cstheme="minorHAnsi"/>
              </w:rPr>
            </w:pPr>
            <w:r w:rsidRPr="00E50844">
              <w:t xml:space="preserve">Klimatická změna přináší delší a intenzivnější období vysokých teplot, což zvyšuje potřebu chlazení budov. Před instalací strojního chlazení je však vždy vhodné nejprve řešit opatření, která přehřívání </w:t>
            </w:r>
            <w:r>
              <w:t>omezují</w:t>
            </w:r>
            <w:r w:rsidRPr="00E50844">
              <w:t xml:space="preserve"> – kvalitní tepelnou izolaci, účinné venkovní stínění, případně zeleň na</w:t>
            </w:r>
            <w:r>
              <w:t> </w:t>
            </w:r>
            <w:r w:rsidRPr="00E50844">
              <w:t>fasádách a</w:t>
            </w:r>
            <w:r>
              <w:t xml:space="preserve"> střechách</w:t>
            </w:r>
            <w:r w:rsidRPr="00E50844">
              <w:t>. Pokud tato opatření nestačí, přichází na řadu strojové chlazení. Zdrojem chladu může být tepelné čerpadlo (výhodou je možnost využití pro vytápění i</w:t>
            </w:r>
            <w:r>
              <w:t> </w:t>
            </w:r>
            <w:r w:rsidRPr="00E50844">
              <w:t xml:space="preserve">chlazení) nebo samostatná klimatizační jednotka. </w:t>
            </w:r>
          </w:p>
        </w:tc>
        <w:tc>
          <w:tcPr>
            <w:tcW w:w="4961" w:type="dxa"/>
          </w:tcPr>
          <w:p w14:paraId="1662CEC7" w14:textId="77777777" w:rsidR="00A076B4" w:rsidRPr="00E50844" w:rsidRDefault="00A076B4" w:rsidP="0008103C">
            <w:pPr>
              <w:jc w:val="both"/>
              <w:rPr>
                <w:rFonts w:cstheme="minorHAnsi"/>
                <w:b/>
                <w:bCs/>
              </w:rPr>
            </w:pPr>
            <w:r w:rsidRPr="000550DE">
              <w:t>V rámci novostaveb a rekonstrukcí počítat s nutností chlazení (celku nebo části). Nejprve se pokusit omezit zdroj přehřívání (dostatečné zastínění, tepelná kapacita budov, pasivní chlazení).</w:t>
            </w:r>
          </w:p>
        </w:tc>
        <w:tc>
          <w:tcPr>
            <w:tcW w:w="4678" w:type="dxa"/>
          </w:tcPr>
          <w:p w14:paraId="67A35DDD" w14:textId="77777777" w:rsidR="00A076B4" w:rsidRDefault="00A076B4" w:rsidP="0008103C">
            <w:pPr>
              <w:jc w:val="both"/>
            </w:pPr>
            <w:r w:rsidRPr="00E50844">
              <w:t>• Ověřit vhodnost zvoleného zdroje chladu a</w:t>
            </w:r>
            <w:r>
              <w:t> systému</w:t>
            </w:r>
            <w:r w:rsidRPr="00E50844">
              <w:t xml:space="preserve"> distribuce pro konkrétní typ budovy.</w:t>
            </w:r>
          </w:p>
          <w:p w14:paraId="0154E29F" w14:textId="77777777" w:rsidR="00A076B4" w:rsidRDefault="00A076B4" w:rsidP="0008103C">
            <w:pPr>
              <w:jc w:val="both"/>
            </w:pPr>
            <w:r w:rsidRPr="00E50844">
              <w:t>• Zajistit účinné řízení a regulaci pro minimalizaci energetické náročnosti chlazení.</w:t>
            </w:r>
          </w:p>
          <w:p w14:paraId="3086A07D" w14:textId="77777777" w:rsidR="00A076B4" w:rsidRDefault="00A076B4" w:rsidP="00A076B4">
            <w:pPr>
              <w:pStyle w:val="Odstavecseseznamem"/>
              <w:numPr>
                <w:ilvl w:val="0"/>
                <w:numId w:val="6"/>
              </w:numPr>
              <w:spacing w:line="240" w:lineRule="auto"/>
              <w:jc w:val="both"/>
              <w:rPr>
                <w:rFonts w:cstheme="minorHAnsi"/>
              </w:rPr>
            </w:pPr>
            <w:r>
              <w:rPr>
                <w:rFonts w:cstheme="minorHAnsi"/>
              </w:rPr>
              <w:t>Koordinace s ostatními technologiemi</w:t>
            </w:r>
          </w:p>
          <w:p w14:paraId="37C7B421" w14:textId="77777777" w:rsidR="00A076B4" w:rsidRPr="003F5EBF" w:rsidRDefault="00A076B4" w:rsidP="00A076B4">
            <w:pPr>
              <w:pStyle w:val="Odstavecseseznamem"/>
              <w:numPr>
                <w:ilvl w:val="0"/>
                <w:numId w:val="6"/>
              </w:numPr>
              <w:spacing w:line="240" w:lineRule="auto"/>
              <w:jc w:val="both"/>
              <w:rPr>
                <w:rFonts w:cstheme="minorHAnsi"/>
              </w:rPr>
            </w:pPr>
            <w:r>
              <w:rPr>
                <w:rFonts w:cstheme="minorHAnsi"/>
              </w:rPr>
              <w:t>Hlukové parametry</w:t>
            </w:r>
          </w:p>
        </w:tc>
      </w:tr>
    </w:tbl>
    <w:p w14:paraId="18CB23F4" w14:textId="77777777" w:rsidR="00A076B4" w:rsidRPr="00FB20E8" w:rsidRDefault="00A076B4" w:rsidP="00A076B4">
      <w:pPr>
        <w:spacing w:before="240" w:after="0"/>
        <w:rPr>
          <w:rFonts w:cstheme="minorHAnsi"/>
          <w:b/>
        </w:rPr>
      </w:pPr>
      <w:r w:rsidRPr="00E47DA9">
        <w:rPr>
          <w:rFonts w:cstheme="minorHAnsi"/>
          <w:b/>
        </w:rPr>
        <w:t>Centrální zdroj tepla</w:t>
      </w:r>
    </w:p>
    <w:tbl>
      <w:tblPr>
        <w:tblStyle w:val="Mkatabulky"/>
        <w:tblW w:w="14312" w:type="dxa"/>
        <w:tblLook w:val="04A0" w:firstRow="1" w:lastRow="0" w:firstColumn="1" w:lastColumn="0" w:noHBand="0" w:noVBand="1"/>
      </w:tblPr>
      <w:tblGrid>
        <w:gridCol w:w="4673"/>
        <w:gridCol w:w="4961"/>
        <w:gridCol w:w="4678"/>
      </w:tblGrid>
      <w:tr w:rsidR="00A076B4" w:rsidRPr="00E50844" w14:paraId="58D0DA7B" w14:textId="77777777" w:rsidTr="0008103C">
        <w:tc>
          <w:tcPr>
            <w:tcW w:w="4673" w:type="dxa"/>
          </w:tcPr>
          <w:p w14:paraId="442F00F6" w14:textId="77777777" w:rsidR="00A076B4" w:rsidRPr="00E50844" w:rsidRDefault="00A076B4" w:rsidP="0008103C">
            <w:pPr>
              <w:jc w:val="both"/>
              <w:rPr>
                <w:rFonts w:cstheme="minorHAnsi"/>
              </w:rPr>
            </w:pPr>
            <w:r w:rsidRPr="00E50844">
              <w:t>Budoucí strategie v oblasti energetiky a legislativy, např</w:t>
            </w:r>
            <w:r>
              <w:t>.</w:t>
            </w:r>
            <w:r w:rsidRPr="00E50844">
              <w:t xml:space="preserve"> evropská směrnice EPBD4 a z ní vycházející národní předpisy, budou pravděpodobně stále více upřednostňovat centrální zdroje tepla před individuálními. Výhodou je možnost efektivnějšího přechodu na využití </w:t>
            </w:r>
            <w:r>
              <w:t>OZE</w:t>
            </w:r>
            <w:r w:rsidRPr="00E50844">
              <w:t xml:space="preserve"> a odpadního tepla, a</w:t>
            </w:r>
            <w:r>
              <w:t xml:space="preserve"> také</w:t>
            </w:r>
            <w:r w:rsidRPr="00E50844">
              <w:t xml:space="preserve"> snadnější kontrola emisí.</w:t>
            </w:r>
          </w:p>
        </w:tc>
        <w:tc>
          <w:tcPr>
            <w:tcW w:w="4961" w:type="dxa"/>
          </w:tcPr>
          <w:p w14:paraId="5A44B57B" w14:textId="77777777" w:rsidR="00A076B4" w:rsidRPr="00E50844" w:rsidRDefault="00A076B4" w:rsidP="0008103C">
            <w:pPr>
              <w:jc w:val="both"/>
              <w:rPr>
                <w:rFonts w:cstheme="minorHAnsi"/>
                <w:b/>
                <w:bCs/>
              </w:rPr>
            </w:pPr>
            <w:r w:rsidRPr="000550DE">
              <w:t>V případě, že je CZT k dispozici a dává technicko – ekonomický smysl se připojit.</w:t>
            </w:r>
          </w:p>
        </w:tc>
        <w:tc>
          <w:tcPr>
            <w:tcW w:w="4678" w:type="dxa"/>
          </w:tcPr>
          <w:p w14:paraId="18F320E7" w14:textId="77777777" w:rsidR="00A076B4" w:rsidRDefault="00A076B4" w:rsidP="0008103C">
            <w:r w:rsidRPr="00E50844">
              <w:t xml:space="preserve">• </w:t>
            </w:r>
            <w:r>
              <w:t>Ověřit vhodnost smluvních podmínek, zejména možnost výpovědi.</w:t>
            </w:r>
          </w:p>
          <w:p w14:paraId="42420301" w14:textId="77777777" w:rsidR="00A076B4" w:rsidRDefault="00A076B4" w:rsidP="00A076B4">
            <w:pPr>
              <w:pStyle w:val="Odstavecseseznamem"/>
              <w:numPr>
                <w:ilvl w:val="0"/>
                <w:numId w:val="3"/>
              </w:numPr>
              <w:spacing w:line="240" w:lineRule="auto"/>
              <w:ind w:left="174" w:hanging="174"/>
              <w:rPr>
                <w:rFonts w:cstheme="minorHAnsi"/>
              </w:rPr>
            </w:pPr>
            <w:r w:rsidRPr="00FD6639">
              <w:rPr>
                <w:rFonts w:cstheme="minorHAnsi"/>
              </w:rPr>
              <w:t>Zjistit</w:t>
            </w:r>
            <w:r>
              <w:rPr>
                <w:rFonts w:cstheme="minorHAnsi"/>
              </w:rPr>
              <w:t>,</w:t>
            </w:r>
            <w:r w:rsidRPr="00FD6639">
              <w:rPr>
                <w:rFonts w:cstheme="minorHAnsi"/>
              </w:rPr>
              <w:t xml:space="preserve"> z čeho se teplo vyrábí – klíčové pro budoucnost ceny</w:t>
            </w:r>
            <w:r>
              <w:rPr>
                <w:rFonts w:cstheme="minorHAnsi"/>
              </w:rPr>
              <w:t>.</w:t>
            </w:r>
          </w:p>
          <w:p w14:paraId="797A02F8" w14:textId="77777777" w:rsidR="00A076B4" w:rsidRPr="00EE5E38" w:rsidRDefault="00A076B4" w:rsidP="00A076B4">
            <w:pPr>
              <w:pStyle w:val="Odstavecseseznamem"/>
              <w:numPr>
                <w:ilvl w:val="0"/>
                <w:numId w:val="3"/>
              </w:numPr>
              <w:spacing w:line="240" w:lineRule="auto"/>
              <w:ind w:left="174" w:hanging="174"/>
              <w:rPr>
                <w:rFonts w:cstheme="minorHAnsi"/>
              </w:rPr>
            </w:pPr>
            <w:r>
              <w:rPr>
                <w:rFonts w:cstheme="minorHAnsi"/>
              </w:rPr>
              <w:t>Flexibilita do budoucna (možnost přechodu na jiný zdroj nebo kombinace s dalšími technologiemi)</w:t>
            </w:r>
          </w:p>
        </w:tc>
      </w:tr>
    </w:tbl>
    <w:p w14:paraId="5F5A7A39" w14:textId="77777777" w:rsidR="00A076B4" w:rsidRPr="00E50844" w:rsidRDefault="00A076B4" w:rsidP="00A076B4">
      <w:pPr>
        <w:spacing w:before="240" w:after="0"/>
        <w:rPr>
          <w:rFonts w:cstheme="minorHAnsi"/>
          <w:b/>
        </w:rPr>
      </w:pPr>
      <w:r w:rsidRPr="00E50844">
        <w:rPr>
          <w:rFonts w:cstheme="minorHAnsi"/>
          <w:b/>
        </w:rPr>
        <w:t>Tepelné čerpadlo</w:t>
      </w:r>
    </w:p>
    <w:tbl>
      <w:tblPr>
        <w:tblStyle w:val="Mkatabulky"/>
        <w:tblW w:w="14312" w:type="dxa"/>
        <w:tblLook w:val="04A0" w:firstRow="1" w:lastRow="0" w:firstColumn="1" w:lastColumn="0" w:noHBand="0" w:noVBand="1"/>
      </w:tblPr>
      <w:tblGrid>
        <w:gridCol w:w="4673"/>
        <w:gridCol w:w="4961"/>
        <w:gridCol w:w="4678"/>
      </w:tblGrid>
      <w:tr w:rsidR="00A076B4" w:rsidRPr="00E50844" w14:paraId="64DE9D34" w14:textId="77777777" w:rsidTr="0008103C">
        <w:tc>
          <w:tcPr>
            <w:tcW w:w="4673" w:type="dxa"/>
          </w:tcPr>
          <w:p w14:paraId="2D0FB8DF" w14:textId="77777777" w:rsidR="00A076B4" w:rsidRPr="00E50844" w:rsidRDefault="00A076B4" w:rsidP="0008103C">
            <w:pPr>
              <w:jc w:val="both"/>
              <w:rPr>
                <w:rFonts w:cstheme="minorHAnsi"/>
              </w:rPr>
            </w:pPr>
            <w:r>
              <w:t>Snižování celkové neobnovitelné energie u staveb vede stále více k využívání OZE. T</w:t>
            </w:r>
            <w:r w:rsidRPr="00E50844">
              <w:t>epelné čerpadlo využívá nízkopotenciální energii z okolního prostředí a využívá ji na výrobu tepla (pro</w:t>
            </w:r>
            <w:r>
              <w:t> </w:t>
            </w:r>
            <w:r w:rsidRPr="00E50844">
              <w:t>vytápění, ohřev vody) nebo chladu. V</w:t>
            </w:r>
            <w:r>
              <w:t> </w:t>
            </w:r>
            <w:r w:rsidRPr="00E50844">
              <w:t>porovnání s</w:t>
            </w:r>
            <w:r>
              <w:t> klasickými</w:t>
            </w:r>
            <w:r w:rsidRPr="00E50844">
              <w:t xml:space="preserve"> zdroji tepla dosahuje </w:t>
            </w:r>
            <w:r w:rsidRPr="00E50844">
              <w:lastRenderedPageBreak/>
              <w:t>vysoké účinnosti a umožňuje výrazně snížit spotřebu energie z</w:t>
            </w:r>
            <w:r>
              <w:t> </w:t>
            </w:r>
            <w:r w:rsidRPr="00E50844">
              <w:t>fosilních paliv. Jednou z výhod je možnost využít jeden zdroj pro vytápění i</w:t>
            </w:r>
            <w:r>
              <w:t> </w:t>
            </w:r>
            <w:r w:rsidRPr="00E50844">
              <w:t>chlazení.</w:t>
            </w:r>
          </w:p>
        </w:tc>
        <w:tc>
          <w:tcPr>
            <w:tcW w:w="4961" w:type="dxa"/>
          </w:tcPr>
          <w:p w14:paraId="4F340686" w14:textId="77777777" w:rsidR="00A076B4" w:rsidRPr="00E50844" w:rsidRDefault="00A076B4" w:rsidP="0008103C">
            <w:pPr>
              <w:jc w:val="both"/>
              <w:rPr>
                <w:rFonts w:cstheme="minorHAnsi"/>
                <w:b/>
                <w:bCs/>
              </w:rPr>
            </w:pPr>
            <w:r w:rsidRPr="000550DE">
              <w:rPr>
                <w:rFonts w:cstheme="minorHAnsi"/>
              </w:rPr>
              <w:lastRenderedPageBreak/>
              <w:t>V rámci novostaveb a rekonstrukcí počítat s návrhem systému vytápění tepelným čerpadlem (v případě vhodnosti řešení – technické, ekonomické)</w:t>
            </w:r>
          </w:p>
        </w:tc>
        <w:tc>
          <w:tcPr>
            <w:tcW w:w="4678" w:type="dxa"/>
          </w:tcPr>
          <w:p w14:paraId="19EB0F69" w14:textId="77777777" w:rsidR="00A076B4" w:rsidRPr="007E55DB" w:rsidRDefault="00A076B4" w:rsidP="0008103C">
            <w:pPr>
              <w:jc w:val="both"/>
            </w:pPr>
            <w:r w:rsidRPr="00E50844">
              <w:t>• Ověřit vhodnost typu tepelného čerpadla (vzduch–voda, voda–voda, země–voda)</w:t>
            </w:r>
            <w:r>
              <w:t xml:space="preserve"> s ohledem na</w:t>
            </w:r>
            <w:r w:rsidRPr="00E50844">
              <w:t xml:space="preserve"> místní podmínky a provozní režim </w:t>
            </w:r>
            <w:r w:rsidRPr="007E55DB">
              <w:t>budovy.</w:t>
            </w:r>
          </w:p>
          <w:p w14:paraId="69BAE29E" w14:textId="77777777" w:rsidR="00A076B4" w:rsidRPr="007E55DB" w:rsidRDefault="00A076B4" w:rsidP="0008103C">
            <w:pPr>
              <w:pStyle w:val="Odstavecseseznamem"/>
              <w:ind w:left="0"/>
              <w:jc w:val="both"/>
              <w:rPr>
                <w:rFonts w:cstheme="minorHAnsi"/>
              </w:rPr>
            </w:pPr>
            <w:r w:rsidRPr="007E55DB">
              <w:lastRenderedPageBreak/>
              <w:t xml:space="preserve">• </w:t>
            </w:r>
            <w:r w:rsidRPr="007E55DB">
              <w:rPr>
                <w:rFonts w:cstheme="minorHAnsi"/>
              </w:rPr>
              <w:t>U rekonstrukcí nutno počítat s úpravou otopných ploch, instalací ekvitermní regulace a vyvážením otopné soustavy.</w:t>
            </w:r>
          </w:p>
          <w:p w14:paraId="4194BF6F" w14:textId="77777777" w:rsidR="00A076B4" w:rsidRDefault="00A076B4" w:rsidP="0008103C">
            <w:pPr>
              <w:jc w:val="both"/>
              <w:rPr>
                <w:rFonts w:cstheme="minorHAnsi"/>
              </w:rPr>
            </w:pPr>
            <w:r w:rsidRPr="00E50844">
              <w:t>•</w:t>
            </w:r>
            <w:r>
              <w:t xml:space="preserve"> </w:t>
            </w:r>
            <w:r w:rsidRPr="007E55DB">
              <w:rPr>
                <w:rFonts w:cstheme="minorHAnsi"/>
              </w:rPr>
              <w:t>Nutná instalace řídícího systému s přenosem naměřených dat na dispečink.</w:t>
            </w:r>
          </w:p>
          <w:p w14:paraId="0280DEB8" w14:textId="77777777" w:rsidR="00A076B4" w:rsidRDefault="00A076B4" w:rsidP="00A076B4">
            <w:pPr>
              <w:pStyle w:val="Odstavecseseznamem"/>
              <w:numPr>
                <w:ilvl w:val="0"/>
                <w:numId w:val="7"/>
              </w:numPr>
              <w:spacing w:line="240" w:lineRule="auto"/>
              <w:jc w:val="both"/>
              <w:rPr>
                <w:rFonts w:cstheme="minorHAnsi"/>
              </w:rPr>
            </w:pPr>
            <w:r>
              <w:rPr>
                <w:rFonts w:cstheme="minorHAnsi"/>
              </w:rPr>
              <w:t>Hlukové parametry</w:t>
            </w:r>
          </w:p>
          <w:p w14:paraId="24ECE0B5" w14:textId="77777777" w:rsidR="00A076B4" w:rsidRDefault="00A076B4" w:rsidP="00A076B4">
            <w:pPr>
              <w:pStyle w:val="Odstavecseseznamem"/>
              <w:numPr>
                <w:ilvl w:val="0"/>
                <w:numId w:val="7"/>
              </w:numPr>
              <w:spacing w:line="240" w:lineRule="auto"/>
              <w:jc w:val="both"/>
              <w:rPr>
                <w:rFonts w:cstheme="minorHAnsi"/>
              </w:rPr>
            </w:pPr>
            <w:r>
              <w:rPr>
                <w:rFonts w:cstheme="minorHAnsi"/>
              </w:rPr>
              <w:t>Prostorové nároky (dostatek místa pro vnitřní a venkovní jednotky, případné vrty nebo plošné kolektory, a zajištění přístupu pro servis)</w:t>
            </w:r>
          </w:p>
          <w:p w14:paraId="2E754B83" w14:textId="77777777" w:rsidR="00A076B4" w:rsidRPr="003F5EBF" w:rsidRDefault="00A076B4" w:rsidP="00A076B4">
            <w:pPr>
              <w:pStyle w:val="Odstavecseseznamem"/>
              <w:numPr>
                <w:ilvl w:val="0"/>
                <w:numId w:val="7"/>
              </w:numPr>
              <w:spacing w:line="240" w:lineRule="auto"/>
              <w:jc w:val="both"/>
              <w:rPr>
                <w:rFonts w:cstheme="minorHAnsi"/>
              </w:rPr>
            </w:pPr>
            <w:r>
              <w:rPr>
                <w:rFonts w:cstheme="minorHAnsi"/>
              </w:rPr>
              <w:t>Integrace s dalšími technoligiemi (provázání s FVE, akumulací energie, měřením a regulací)</w:t>
            </w:r>
          </w:p>
        </w:tc>
      </w:tr>
    </w:tbl>
    <w:p w14:paraId="4B41D212" w14:textId="77777777" w:rsidR="00A076B4" w:rsidRPr="00FB20E8" w:rsidRDefault="00A076B4" w:rsidP="00A076B4">
      <w:pPr>
        <w:spacing w:before="240" w:after="0"/>
        <w:rPr>
          <w:rFonts w:cstheme="minorHAnsi"/>
          <w:b/>
        </w:rPr>
      </w:pPr>
      <w:r w:rsidRPr="00E50844">
        <w:rPr>
          <w:rFonts w:cstheme="minorHAnsi"/>
          <w:b/>
        </w:rPr>
        <w:lastRenderedPageBreak/>
        <w:t>Biomasa a bioplyn</w:t>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t>Doporučené hodnoty</w:t>
      </w:r>
      <w:r>
        <w:rPr>
          <w:rFonts w:cstheme="minorHAnsi"/>
          <w:b/>
        </w:rPr>
        <w:tab/>
      </w:r>
      <w:r>
        <w:rPr>
          <w:rFonts w:cstheme="minorHAnsi"/>
          <w:b/>
        </w:rPr>
        <w:tab/>
      </w:r>
      <w:r>
        <w:rPr>
          <w:rFonts w:cstheme="minorHAnsi"/>
          <w:b/>
        </w:rPr>
        <w:tab/>
      </w:r>
      <w:r>
        <w:rPr>
          <w:rFonts w:cstheme="minorHAnsi"/>
          <w:b/>
        </w:rPr>
        <w:tab/>
      </w:r>
      <w:r>
        <w:rPr>
          <w:rFonts w:cstheme="minorHAnsi"/>
          <w:b/>
        </w:rPr>
        <w:tab/>
      </w:r>
      <w:r w:rsidRPr="00E50844">
        <w:rPr>
          <w:rFonts w:cstheme="minorHAnsi"/>
          <w:b/>
        </w:rPr>
        <w:t>Na co se zaměřit</w:t>
      </w:r>
    </w:p>
    <w:tbl>
      <w:tblPr>
        <w:tblStyle w:val="Mkatabulky"/>
        <w:tblW w:w="14312" w:type="dxa"/>
        <w:tblLook w:val="04A0" w:firstRow="1" w:lastRow="0" w:firstColumn="1" w:lastColumn="0" w:noHBand="0" w:noVBand="1"/>
      </w:tblPr>
      <w:tblGrid>
        <w:gridCol w:w="4673"/>
        <w:gridCol w:w="4961"/>
        <w:gridCol w:w="4678"/>
      </w:tblGrid>
      <w:tr w:rsidR="00A076B4" w:rsidRPr="00E50844" w14:paraId="5FF6EAB7" w14:textId="77777777" w:rsidTr="0008103C">
        <w:tc>
          <w:tcPr>
            <w:tcW w:w="4673" w:type="dxa"/>
          </w:tcPr>
          <w:p w14:paraId="3724D1E2" w14:textId="77777777" w:rsidR="00A076B4" w:rsidRPr="00E50844" w:rsidRDefault="00A076B4" w:rsidP="0008103C">
            <w:pPr>
              <w:jc w:val="both"/>
              <w:rPr>
                <w:rFonts w:cstheme="minorHAnsi"/>
              </w:rPr>
            </w:pPr>
            <w:r w:rsidRPr="00E50844">
              <w:t xml:space="preserve">Biomasa představuje </w:t>
            </w:r>
            <w:r>
              <w:t>OZE</w:t>
            </w:r>
            <w:r w:rsidRPr="00E50844">
              <w:t>, který může sloužit jak pro lokální vytápění (např. peletové nebo štěpkové kotle), tak i pro velké centrální zdroje tepla. Při vhodném hospodaření jde o palivo s</w:t>
            </w:r>
            <w:r>
              <w:t> </w:t>
            </w:r>
            <w:r w:rsidRPr="00E50844">
              <w:t>nízkou uhlíkovou stopou, protože uhlík uvolněný spalováním byl dříve odebrán z</w:t>
            </w:r>
            <w:r>
              <w:t> atmosféry</w:t>
            </w:r>
            <w:r w:rsidRPr="00E50844">
              <w:t xml:space="preserve"> při růstu rostlin. Bioplynové stanice využívají</w:t>
            </w:r>
            <w:r>
              <w:t xml:space="preserve"> </w:t>
            </w:r>
            <w:r w:rsidRPr="00E50844">
              <w:t>biologicky rozložitelné odpady a</w:t>
            </w:r>
            <w:r>
              <w:t> produkují</w:t>
            </w:r>
            <w:r w:rsidRPr="00E50844">
              <w:t xml:space="preserve"> bioplyn, který lze spalovat v</w:t>
            </w:r>
            <w:r>
              <w:t> kogeneračních</w:t>
            </w:r>
            <w:r w:rsidRPr="00E50844">
              <w:t xml:space="preserve"> jednotkách nebo v kotlích.</w:t>
            </w:r>
          </w:p>
        </w:tc>
        <w:tc>
          <w:tcPr>
            <w:tcW w:w="4961" w:type="dxa"/>
          </w:tcPr>
          <w:p w14:paraId="1A94A0AC" w14:textId="77777777" w:rsidR="00A076B4" w:rsidRPr="000550DE" w:rsidRDefault="00A076B4" w:rsidP="0008103C">
            <w:pPr>
              <w:jc w:val="both"/>
              <w:rPr>
                <w:rFonts w:cstheme="minorHAnsi"/>
              </w:rPr>
            </w:pPr>
            <w:r w:rsidRPr="000550DE">
              <w:t>V případě ekonomické výhodnosti je možné navrhnout i toto řešení</w:t>
            </w:r>
          </w:p>
        </w:tc>
        <w:tc>
          <w:tcPr>
            <w:tcW w:w="4678" w:type="dxa"/>
          </w:tcPr>
          <w:p w14:paraId="52E4AA98" w14:textId="77777777" w:rsidR="00A076B4" w:rsidRDefault="00A076B4" w:rsidP="0008103C">
            <w:pPr>
              <w:jc w:val="both"/>
            </w:pPr>
            <w:r w:rsidRPr="00E50844">
              <w:t>• Ověřit dlouhodobou dostupnost a cenu paliva v</w:t>
            </w:r>
            <w:r>
              <w:t> </w:t>
            </w:r>
            <w:r w:rsidRPr="00E50844">
              <w:t>dané lokalitě.</w:t>
            </w:r>
          </w:p>
          <w:p w14:paraId="29716755" w14:textId="77777777" w:rsidR="00A076B4" w:rsidRDefault="00A076B4" w:rsidP="0008103C">
            <w:pPr>
              <w:jc w:val="both"/>
            </w:pPr>
            <w:r w:rsidRPr="00E50844">
              <w:t>• Zajistit vhodné skladovací prostory a logistiku dodávek paliva.</w:t>
            </w:r>
          </w:p>
          <w:p w14:paraId="7E95E0BF" w14:textId="77777777" w:rsidR="00A076B4" w:rsidRDefault="00A076B4" w:rsidP="00A076B4">
            <w:pPr>
              <w:pStyle w:val="Odstavecseseznamem"/>
              <w:numPr>
                <w:ilvl w:val="0"/>
                <w:numId w:val="8"/>
              </w:numPr>
              <w:spacing w:line="240" w:lineRule="auto"/>
              <w:jc w:val="both"/>
              <w:rPr>
                <w:rFonts w:cstheme="minorHAnsi"/>
              </w:rPr>
            </w:pPr>
            <w:r>
              <w:rPr>
                <w:rFonts w:cstheme="minorHAnsi"/>
              </w:rPr>
              <w:t>Provozní nároky a obsluha (biomasa vyžaduje pravidelnou obsluhu, údržbu a pdvpz popela, u bioplynu nutnost odbrného provozu)</w:t>
            </w:r>
          </w:p>
          <w:p w14:paraId="56DBFA6B" w14:textId="77777777" w:rsidR="00A076B4" w:rsidRDefault="00A076B4" w:rsidP="00A076B4">
            <w:pPr>
              <w:pStyle w:val="Odstavecseseznamem"/>
              <w:numPr>
                <w:ilvl w:val="0"/>
                <w:numId w:val="8"/>
              </w:numPr>
              <w:spacing w:line="240" w:lineRule="auto"/>
              <w:jc w:val="both"/>
              <w:rPr>
                <w:rFonts w:cstheme="minorHAnsi"/>
              </w:rPr>
            </w:pPr>
            <w:r>
              <w:rPr>
                <w:rFonts w:cstheme="minorHAnsi"/>
              </w:rPr>
              <w:t>Řešení požární bezpečnosti, větrání</w:t>
            </w:r>
          </w:p>
          <w:p w14:paraId="5022BE9A" w14:textId="77777777" w:rsidR="00A076B4" w:rsidRPr="00AB79DE" w:rsidRDefault="00A076B4" w:rsidP="00A076B4">
            <w:pPr>
              <w:pStyle w:val="Odstavecseseznamem"/>
              <w:numPr>
                <w:ilvl w:val="0"/>
                <w:numId w:val="8"/>
              </w:numPr>
              <w:spacing w:line="240" w:lineRule="auto"/>
              <w:jc w:val="both"/>
              <w:rPr>
                <w:rFonts w:cstheme="minorHAnsi"/>
              </w:rPr>
            </w:pPr>
            <w:r>
              <w:rPr>
                <w:rFonts w:cstheme="minorHAnsi"/>
              </w:rPr>
              <w:t>Integrace s dalšími technologiemi</w:t>
            </w:r>
          </w:p>
        </w:tc>
      </w:tr>
    </w:tbl>
    <w:p w14:paraId="1E976758" w14:textId="77777777" w:rsidR="00A076B4" w:rsidRPr="00FB20E8" w:rsidRDefault="00A076B4" w:rsidP="00A076B4">
      <w:pPr>
        <w:spacing w:before="240" w:after="0"/>
        <w:rPr>
          <w:rFonts w:cstheme="minorHAnsi"/>
          <w:b/>
        </w:rPr>
      </w:pPr>
      <w:r w:rsidRPr="00E50844">
        <w:rPr>
          <w:rFonts w:cstheme="minorHAnsi"/>
          <w:b/>
        </w:rPr>
        <w:t>Kogenerace</w:t>
      </w:r>
    </w:p>
    <w:tbl>
      <w:tblPr>
        <w:tblStyle w:val="Mkatabulky"/>
        <w:tblW w:w="14312" w:type="dxa"/>
        <w:tblLook w:val="04A0" w:firstRow="1" w:lastRow="0" w:firstColumn="1" w:lastColumn="0" w:noHBand="0" w:noVBand="1"/>
      </w:tblPr>
      <w:tblGrid>
        <w:gridCol w:w="4673"/>
        <w:gridCol w:w="4961"/>
        <w:gridCol w:w="4678"/>
      </w:tblGrid>
      <w:tr w:rsidR="00A076B4" w:rsidRPr="00E50844" w14:paraId="6C393B52" w14:textId="77777777" w:rsidTr="0008103C">
        <w:tc>
          <w:tcPr>
            <w:tcW w:w="4673" w:type="dxa"/>
          </w:tcPr>
          <w:p w14:paraId="31644DEC" w14:textId="77777777" w:rsidR="00A076B4" w:rsidRPr="00E50844" w:rsidRDefault="00A076B4" w:rsidP="0008103C">
            <w:pPr>
              <w:jc w:val="both"/>
              <w:rPr>
                <w:rFonts w:cstheme="minorHAnsi"/>
              </w:rPr>
            </w:pPr>
            <w:r w:rsidRPr="00E50844">
              <w:t xml:space="preserve">Kogenerace znamená společnou výrobu elektřiny a tepla v jednom zařízení. Tento princip umožňuje efektivně využít energii paliva, protože teplo vznikající při výrobě elektřiny není </w:t>
            </w:r>
            <w:r w:rsidRPr="00E50844">
              <w:lastRenderedPageBreak/>
              <w:t xml:space="preserve">ztraceno, ale slouží pro vytápění nebo ohřev vody. Kogenerační jednotky lze </w:t>
            </w:r>
            <w:r>
              <w:t>instalova</w:t>
            </w:r>
            <w:r w:rsidRPr="00E50844">
              <w:t xml:space="preserve">t jak v menších objektech (např. </w:t>
            </w:r>
            <w:r>
              <w:t>sociální objekty</w:t>
            </w:r>
            <w:r w:rsidRPr="00E50844">
              <w:t>), tak ve větších centrálních zdrojích tepla</w:t>
            </w:r>
            <w:r>
              <w:t xml:space="preserve"> (např. nemocnic apod.).</w:t>
            </w:r>
          </w:p>
        </w:tc>
        <w:tc>
          <w:tcPr>
            <w:tcW w:w="4961" w:type="dxa"/>
          </w:tcPr>
          <w:p w14:paraId="700E1DFD" w14:textId="77777777" w:rsidR="00A076B4" w:rsidRPr="00E50844" w:rsidRDefault="00A076B4" w:rsidP="0008103C">
            <w:pPr>
              <w:jc w:val="both"/>
              <w:rPr>
                <w:rFonts w:cstheme="minorHAnsi"/>
                <w:b/>
                <w:bCs/>
              </w:rPr>
            </w:pPr>
            <w:r w:rsidRPr="000550DE">
              <w:rPr>
                <w:rFonts w:cstheme="minorHAnsi"/>
              </w:rPr>
              <w:lastRenderedPageBreak/>
              <w:t xml:space="preserve">V případě připojení objektu na zemní plyn je vhodné uvažovat </w:t>
            </w:r>
            <w:r>
              <w:rPr>
                <w:rFonts w:cstheme="minorHAnsi"/>
              </w:rPr>
              <w:t>o</w:t>
            </w:r>
            <w:r w:rsidRPr="000550DE">
              <w:rPr>
                <w:rFonts w:cstheme="minorHAnsi"/>
              </w:rPr>
              <w:t> instalac</w:t>
            </w:r>
            <w:r>
              <w:rPr>
                <w:rFonts w:cstheme="minorHAnsi"/>
              </w:rPr>
              <w:t>i</w:t>
            </w:r>
            <w:r w:rsidRPr="000550DE">
              <w:rPr>
                <w:rFonts w:cstheme="minorHAnsi"/>
              </w:rPr>
              <w:t xml:space="preserve"> kogenerační jednotky (pokud dává technicko-ekonomický smysl). Viz </w:t>
            </w:r>
            <w:r w:rsidRPr="000550DE">
              <w:rPr>
                <w:rFonts w:cstheme="minorHAnsi"/>
              </w:rPr>
              <w:lastRenderedPageBreak/>
              <w:t xml:space="preserve">poznámka výše </w:t>
            </w:r>
            <w:r>
              <w:rPr>
                <w:rFonts w:cstheme="minorHAnsi"/>
              </w:rPr>
              <w:t xml:space="preserve">o </w:t>
            </w:r>
            <w:r w:rsidRPr="000550DE">
              <w:rPr>
                <w:rFonts w:cstheme="minorHAnsi"/>
              </w:rPr>
              <w:t>směrnici o energetické náročnosti budov.</w:t>
            </w:r>
          </w:p>
        </w:tc>
        <w:tc>
          <w:tcPr>
            <w:tcW w:w="4678" w:type="dxa"/>
          </w:tcPr>
          <w:p w14:paraId="68A16925" w14:textId="77777777" w:rsidR="00A076B4" w:rsidRDefault="00A076B4" w:rsidP="0008103C">
            <w:pPr>
              <w:jc w:val="both"/>
            </w:pPr>
            <w:r w:rsidRPr="00E50844">
              <w:lastRenderedPageBreak/>
              <w:t xml:space="preserve">• Posoudit vhodnost provozního režimu – kogenerace je efektivní zejména tam, kde je </w:t>
            </w:r>
            <w:r w:rsidRPr="00013027">
              <w:t>dlouhodobě potřeba tepla i elektřiny.</w:t>
            </w:r>
          </w:p>
          <w:p w14:paraId="134BA28F" w14:textId="77777777" w:rsidR="00A076B4" w:rsidRDefault="00A076B4" w:rsidP="0008103C">
            <w:pPr>
              <w:jc w:val="both"/>
            </w:pPr>
            <w:r w:rsidRPr="00013027">
              <w:lastRenderedPageBreak/>
              <w:t>• Ověřit dostupnost vhodného paliva a podmínky pro napojení na elektrickou síť.</w:t>
            </w:r>
          </w:p>
          <w:p w14:paraId="57A813ED" w14:textId="77777777" w:rsidR="00A076B4" w:rsidRDefault="00A076B4" w:rsidP="0008103C">
            <w:pPr>
              <w:jc w:val="both"/>
            </w:pPr>
            <w:r w:rsidRPr="00013027">
              <w:t>•</w:t>
            </w:r>
            <w:r>
              <w:t xml:space="preserve"> </w:t>
            </w:r>
            <w:r w:rsidRPr="007E55DB">
              <w:t>Nutná instalace řídícího systému s přenosem naměřených dat na dispečink.</w:t>
            </w:r>
          </w:p>
          <w:p w14:paraId="66114BFA" w14:textId="77777777" w:rsidR="00A076B4" w:rsidRPr="00AB79DE" w:rsidRDefault="00A076B4" w:rsidP="00A076B4">
            <w:pPr>
              <w:pStyle w:val="Odstavecseseznamem"/>
              <w:numPr>
                <w:ilvl w:val="0"/>
                <w:numId w:val="9"/>
              </w:numPr>
              <w:spacing w:line="240" w:lineRule="auto"/>
              <w:jc w:val="both"/>
              <w:rPr>
                <w:rFonts w:cstheme="minorHAnsi"/>
              </w:rPr>
            </w:pPr>
            <w:r w:rsidRPr="00AB79DE">
              <w:rPr>
                <w:rFonts w:cstheme="minorHAnsi"/>
                <w:b/>
                <w:bCs/>
              </w:rPr>
              <w:t>Dimenzování výkonu</w:t>
            </w:r>
            <w:r w:rsidRPr="00AB79DE">
              <w:rPr>
                <w:rFonts w:cstheme="minorHAnsi"/>
              </w:rPr>
              <w:t xml:space="preserve"> – správně nastavit výkon jednotky podle skutečné spotřeby tepla a elektřiny v objektu.</w:t>
            </w:r>
          </w:p>
          <w:p w14:paraId="409CB0B4" w14:textId="77777777" w:rsidR="00A076B4" w:rsidRPr="00AB79DE" w:rsidRDefault="00A076B4" w:rsidP="00A076B4">
            <w:pPr>
              <w:pStyle w:val="Odstavecseseznamem"/>
              <w:numPr>
                <w:ilvl w:val="0"/>
                <w:numId w:val="9"/>
              </w:numPr>
              <w:spacing w:line="240" w:lineRule="auto"/>
              <w:jc w:val="both"/>
              <w:rPr>
                <w:rFonts w:cstheme="minorHAnsi"/>
              </w:rPr>
            </w:pPr>
            <w:r w:rsidRPr="00AB79DE">
              <w:rPr>
                <w:rFonts w:cstheme="minorHAnsi"/>
                <w:b/>
                <w:bCs/>
              </w:rPr>
              <w:t>Využití vyrobené energie</w:t>
            </w:r>
            <w:r w:rsidRPr="00AB79DE">
              <w:rPr>
                <w:rFonts w:cstheme="minorHAnsi"/>
              </w:rPr>
              <w:t xml:space="preserve"> – maximalizovat vlastní spotřebu elektřiny v objektu, případně řešit přetoky do distribuční sítě.</w:t>
            </w:r>
          </w:p>
          <w:p w14:paraId="5633BF08" w14:textId="77777777" w:rsidR="00A076B4" w:rsidRPr="00AB79DE" w:rsidRDefault="00A076B4" w:rsidP="00A076B4">
            <w:pPr>
              <w:pStyle w:val="Odstavecseseznamem"/>
              <w:numPr>
                <w:ilvl w:val="0"/>
                <w:numId w:val="9"/>
              </w:numPr>
              <w:spacing w:line="240" w:lineRule="auto"/>
              <w:jc w:val="both"/>
              <w:rPr>
                <w:rFonts w:cstheme="minorHAnsi"/>
              </w:rPr>
            </w:pPr>
            <w:r w:rsidRPr="00AB79DE">
              <w:rPr>
                <w:rFonts w:cstheme="minorHAnsi"/>
                <w:b/>
                <w:bCs/>
              </w:rPr>
              <w:t>Integrace do systému budovy</w:t>
            </w:r>
            <w:r w:rsidRPr="00AB79DE">
              <w:rPr>
                <w:rFonts w:cstheme="minorHAnsi"/>
              </w:rPr>
              <w:t xml:space="preserve"> – provázání s otopnou soustavou, přípravou teplé vody, případně s akumulací tepla nebo elektřiny.</w:t>
            </w:r>
          </w:p>
          <w:p w14:paraId="1A34875A" w14:textId="77777777" w:rsidR="00A076B4" w:rsidRPr="00AB79DE" w:rsidRDefault="00A076B4" w:rsidP="00A076B4">
            <w:pPr>
              <w:pStyle w:val="Odstavecseseznamem"/>
              <w:numPr>
                <w:ilvl w:val="0"/>
                <w:numId w:val="9"/>
              </w:numPr>
              <w:spacing w:line="240" w:lineRule="auto"/>
              <w:jc w:val="both"/>
              <w:rPr>
                <w:rFonts w:cstheme="minorHAnsi"/>
              </w:rPr>
            </w:pPr>
          </w:p>
        </w:tc>
      </w:tr>
    </w:tbl>
    <w:p w14:paraId="6AA59865" w14:textId="77777777" w:rsidR="00A076B4" w:rsidRPr="00E50844" w:rsidRDefault="00A076B4" w:rsidP="00A076B4">
      <w:pPr>
        <w:spacing w:before="240" w:after="0"/>
        <w:rPr>
          <w:rFonts w:cstheme="minorHAnsi"/>
          <w:b/>
        </w:rPr>
      </w:pPr>
      <w:r w:rsidRPr="00E50844">
        <w:rPr>
          <w:rFonts w:cstheme="minorHAnsi"/>
          <w:b/>
        </w:rPr>
        <w:lastRenderedPageBreak/>
        <w:t>Akumulace energie</w:t>
      </w:r>
    </w:p>
    <w:tbl>
      <w:tblPr>
        <w:tblStyle w:val="Mkatabulky"/>
        <w:tblW w:w="14312" w:type="dxa"/>
        <w:tblLook w:val="04A0" w:firstRow="1" w:lastRow="0" w:firstColumn="1" w:lastColumn="0" w:noHBand="0" w:noVBand="1"/>
      </w:tblPr>
      <w:tblGrid>
        <w:gridCol w:w="4673"/>
        <w:gridCol w:w="4961"/>
        <w:gridCol w:w="4678"/>
      </w:tblGrid>
      <w:tr w:rsidR="00A076B4" w:rsidRPr="00E50844" w14:paraId="4BEA20EF" w14:textId="77777777" w:rsidTr="0008103C">
        <w:tc>
          <w:tcPr>
            <w:tcW w:w="4673" w:type="dxa"/>
          </w:tcPr>
          <w:p w14:paraId="6DD45233" w14:textId="77777777" w:rsidR="00A076B4" w:rsidRPr="00E50844" w:rsidRDefault="00A076B4" w:rsidP="0008103C">
            <w:pPr>
              <w:jc w:val="both"/>
              <w:rPr>
                <w:rFonts w:cstheme="minorHAnsi"/>
              </w:rPr>
            </w:pPr>
            <w:r w:rsidRPr="00E50844">
              <w:t>Akumulace umožňuje ukládat vyrobenou energii pro její pozdější využití. V budovách se používají především zásobníky teplé vody (pro vytápění nebo přípravu teplé užitkové vody) a bateriová úložiště elektřiny, která se často kombinují s</w:t>
            </w:r>
            <w:r>
              <w:t> FVE</w:t>
            </w:r>
            <w:r w:rsidRPr="00E50844">
              <w:t xml:space="preserve">. Díky akumulaci lze </w:t>
            </w:r>
            <w:r>
              <w:t>efektivněji</w:t>
            </w:r>
            <w:r w:rsidRPr="00E50844">
              <w:t xml:space="preserve"> sladit výrobu a</w:t>
            </w:r>
            <w:r>
              <w:t> </w:t>
            </w:r>
            <w:r w:rsidRPr="00E50844">
              <w:t>spotřebu energie a zvýšit soběstačnost objektu.</w:t>
            </w:r>
          </w:p>
        </w:tc>
        <w:tc>
          <w:tcPr>
            <w:tcW w:w="4961" w:type="dxa"/>
          </w:tcPr>
          <w:p w14:paraId="056263DE" w14:textId="77777777" w:rsidR="00A076B4" w:rsidRPr="000550DE" w:rsidRDefault="00A076B4" w:rsidP="0008103C">
            <w:pPr>
              <w:jc w:val="both"/>
              <w:rPr>
                <w:rFonts w:cstheme="minorHAnsi"/>
              </w:rPr>
            </w:pPr>
            <w:r w:rsidRPr="000550DE">
              <w:t>V rámci návrhu FVE zvážit i možnost instalace bateriového úložiště/případný ohřev TV.</w:t>
            </w:r>
          </w:p>
        </w:tc>
        <w:tc>
          <w:tcPr>
            <w:tcW w:w="4678" w:type="dxa"/>
          </w:tcPr>
          <w:p w14:paraId="2A9E0082" w14:textId="77777777" w:rsidR="00A076B4" w:rsidRDefault="00A076B4" w:rsidP="0008103C">
            <w:pPr>
              <w:jc w:val="both"/>
            </w:pPr>
            <w:r w:rsidRPr="00E50844">
              <w:t>• Posoudit vhodnou kapacitu akumulace podle spotřeby a výrobních možností.</w:t>
            </w:r>
          </w:p>
          <w:p w14:paraId="0A86524C" w14:textId="77777777" w:rsidR="00A076B4" w:rsidRDefault="00A076B4" w:rsidP="0008103C">
            <w:pPr>
              <w:jc w:val="both"/>
            </w:pPr>
            <w:r w:rsidRPr="00E50844">
              <w:t>• Zajistit dostatečný prostor pro umístění zásobníků nebo baterií.</w:t>
            </w:r>
          </w:p>
          <w:p w14:paraId="5E0FE3A2" w14:textId="77777777" w:rsidR="00A076B4" w:rsidRPr="00AF5644" w:rsidRDefault="00A076B4" w:rsidP="00A076B4">
            <w:pPr>
              <w:pStyle w:val="Odstavecseseznamem"/>
              <w:numPr>
                <w:ilvl w:val="0"/>
                <w:numId w:val="10"/>
              </w:numPr>
              <w:spacing w:line="240" w:lineRule="auto"/>
              <w:jc w:val="both"/>
              <w:rPr>
                <w:rFonts w:cstheme="minorHAnsi"/>
              </w:rPr>
            </w:pPr>
            <w:r w:rsidRPr="00AF5644">
              <w:rPr>
                <w:rFonts w:cstheme="minorHAnsi"/>
                <w:b/>
                <w:bCs/>
              </w:rPr>
              <w:t>Bezpečnost provozu</w:t>
            </w:r>
            <w:r w:rsidRPr="00AF5644">
              <w:rPr>
                <w:rFonts w:cstheme="minorHAnsi"/>
              </w:rPr>
              <w:t xml:space="preserve"> – zejména u bateriových úložišť dodržení požárně-bezpečnostních požadavků a technických norem.</w:t>
            </w:r>
          </w:p>
          <w:p w14:paraId="229C9645" w14:textId="77777777" w:rsidR="00A076B4" w:rsidRPr="00AF5644" w:rsidRDefault="00A076B4" w:rsidP="00A076B4">
            <w:pPr>
              <w:pStyle w:val="Odstavecseseznamem"/>
              <w:numPr>
                <w:ilvl w:val="0"/>
                <w:numId w:val="10"/>
              </w:numPr>
              <w:spacing w:line="240" w:lineRule="auto"/>
              <w:jc w:val="both"/>
              <w:rPr>
                <w:rFonts w:cstheme="minorHAnsi"/>
              </w:rPr>
            </w:pPr>
            <w:r w:rsidRPr="00AF5644">
              <w:rPr>
                <w:rFonts w:cstheme="minorHAnsi"/>
                <w:b/>
                <w:bCs/>
              </w:rPr>
              <w:t>Připravenost na budoucí rozšíření</w:t>
            </w:r>
            <w:r w:rsidRPr="00AF5644">
              <w:rPr>
                <w:rFonts w:cstheme="minorHAnsi"/>
              </w:rPr>
              <w:t xml:space="preserve"> – možnost navýšení kapacity akumulace nebo napojení na další technologie.</w:t>
            </w:r>
          </w:p>
          <w:p w14:paraId="6C3D956D" w14:textId="77777777" w:rsidR="00A076B4" w:rsidRPr="00AF5644" w:rsidRDefault="00A076B4" w:rsidP="00A076B4">
            <w:pPr>
              <w:pStyle w:val="Odstavecseseznamem"/>
              <w:numPr>
                <w:ilvl w:val="0"/>
                <w:numId w:val="10"/>
              </w:numPr>
              <w:spacing w:line="240" w:lineRule="auto"/>
              <w:jc w:val="both"/>
              <w:rPr>
                <w:rFonts w:cstheme="minorHAnsi"/>
              </w:rPr>
            </w:pPr>
            <w:r w:rsidRPr="00AF5644">
              <w:rPr>
                <w:rFonts w:cstheme="minorHAnsi"/>
                <w:b/>
                <w:bCs/>
              </w:rPr>
              <w:t>Provázání s technologiemi</w:t>
            </w:r>
            <w:r w:rsidRPr="00AF5644">
              <w:rPr>
                <w:rFonts w:cstheme="minorHAnsi"/>
              </w:rPr>
              <w:t xml:space="preserve"> – zajistit správnou integraci s fotovoltaikou, </w:t>
            </w:r>
            <w:r w:rsidRPr="00AF5644">
              <w:rPr>
                <w:rFonts w:cstheme="minorHAnsi"/>
              </w:rPr>
              <w:lastRenderedPageBreak/>
              <w:t>tepelným čerpadlem, kogenerací nebo jinými zdroji energie.</w:t>
            </w:r>
          </w:p>
          <w:p w14:paraId="119A77ED" w14:textId="77777777" w:rsidR="00A076B4" w:rsidRPr="00AF5644" w:rsidRDefault="00A076B4" w:rsidP="00A076B4">
            <w:pPr>
              <w:pStyle w:val="Odstavecseseznamem"/>
              <w:numPr>
                <w:ilvl w:val="0"/>
                <w:numId w:val="10"/>
              </w:numPr>
              <w:spacing w:line="240" w:lineRule="auto"/>
              <w:jc w:val="both"/>
              <w:rPr>
                <w:rFonts w:cstheme="minorHAnsi"/>
              </w:rPr>
            </w:pPr>
            <w:r w:rsidRPr="00AF5644">
              <w:rPr>
                <w:rFonts w:cstheme="minorHAnsi"/>
                <w:b/>
                <w:bCs/>
              </w:rPr>
              <w:t>Dimenzování kapacity</w:t>
            </w:r>
            <w:r w:rsidRPr="00AF5644">
              <w:rPr>
                <w:rFonts w:cstheme="minorHAnsi"/>
              </w:rPr>
              <w:t xml:space="preserve"> – navrhnout kapacitu akumulace podle skutečné výroby a spotřeby energie v objektu, aby nedocházelo k neefektivnímu provozu.</w:t>
            </w:r>
          </w:p>
          <w:p w14:paraId="6DF7865A" w14:textId="77777777" w:rsidR="00A076B4" w:rsidRPr="00AF5644" w:rsidRDefault="00A076B4" w:rsidP="00A076B4">
            <w:pPr>
              <w:pStyle w:val="Odstavecseseznamem"/>
              <w:numPr>
                <w:ilvl w:val="0"/>
                <w:numId w:val="10"/>
              </w:numPr>
              <w:spacing w:line="240" w:lineRule="auto"/>
              <w:jc w:val="both"/>
              <w:rPr>
                <w:rFonts w:cstheme="minorHAnsi"/>
              </w:rPr>
            </w:pPr>
          </w:p>
        </w:tc>
      </w:tr>
    </w:tbl>
    <w:p w14:paraId="6FFE3C93" w14:textId="77777777" w:rsidR="00A076B4" w:rsidRDefault="00A076B4" w:rsidP="00A076B4">
      <w:pPr>
        <w:spacing w:before="240" w:after="0"/>
        <w:rPr>
          <w:rFonts w:cstheme="minorHAnsi"/>
          <w:b/>
        </w:rPr>
      </w:pPr>
    </w:p>
    <w:p w14:paraId="0766C5BF" w14:textId="77777777" w:rsidR="00A076B4" w:rsidRPr="00E50844" w:rsidRDefault="00A076B4" w:rsidP="00A076B4">
      <w:pPr>
        <w:spacing w:before="240" w:after="0"/>
        <w:rPr>
          <w:rFonts w:cstheme="minorHAnsi"/>
          <w:b/>
        </w:rPr>
      </w:pPr>
      <w:r w:rsidRPr="00E50844">
        <w:rPr>
          <w:rFonts w:cstheme="minorHAnsi"/>
          <w:b/>
        </w:rPr>
        <w:t>Měření a regulace</w:t>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t>Doporučené hodnoty</w:t>
      </w:r>
      <w:r>
        <w:rPr>
          <w:rFonts w:cstheme="minorHAnsi"/>
          <w:b/>
        </w:rPr>
        <w:tab/>
      </w:r>
      <w:r>
        <w:rPr>
          <w:rFonts w:cstheme="minorHAnsi"/>
          <w:b/>
        </w:rPr>
        <w:tab/>
      </w:r>
      <w:r>
        <w:rPr>
          <w:rFonts w:cstheme="minorHAnsi"/>
          <w:b/>
        </w:rPr>
        <w:tab/>
      </w:r>
      <w:r>
        <w:rPr>
          <w:rFonts w:cstheme="minorHAnsi"/>
          <w:b/>
        </w:rPr>
        <w:tab/>
      </w:r>
      <w:r>
        <w:rPr>
          <w:rFonts w:cstheme="minorHAnsi"/>
          <w:b/>
        </w:rPr>
        <w:tab/>
      </w:r>
      <w:r w:rsidRPr="00E50844">
        <w:rPr>
          <w:rFonts w:cstheme="minorHAnsi"/>
          <w:b/>
        </w:rPr>
        <w:t>Na co se zaměřit</w:t>
      </w:r>
    </w:p>
    <w:tbl>
      <w:tblPr>
        <w:tblStyle w:val="Mkatabulky"/>
        <w:tblW w:w="14312" w:type="dxa"/>
        <w:tblLook w:val="04A0" w:firstRow="1" w:lastRow="0" w:firstColumn="1" w:lastColumn="0" w:noHBand="0" w:noVBand="1"/>
      </w:tblPr>
      <w:tblGrid>
        <w:gridCol w:w="4673"/>
        <w:gridCol w:w="4961"/>
        <w:gridCol w:w="4678"/>
      </w:tblGrid>
      <w:tr w:rsidR="00A076B4" w:rsidRPr="00E50844" w14:paraId="68C2998C" w14:textId="77777777" w:rsidTr="0008103C">
        <w:tc>
          <w:tcPr>
            <w:tcW w:w="4673" w:type="dxa"/>
          </w:tcPr>
          <w:p w14:paraId="0CBCEB0F" w14:textId="77777777" w:rsidR="00A076B4" w:rsidRPr="00E50844" w:rsidRDefault="00A076B4" w:rsidP="0008103C">
            <w:pPr>
              <w:jc w:val="both"/>
              <w:rPr>
                <w:rFonts w:cstheme="minorHAnsi"/>
              </w:rPr>
            </w:pPr>
            <w:r w:rsidRPr="00E50844">
              <w:t>Měření a regulace představuje klíčovou součást každého moderního projektu. Bez kvalitního systému řízení nelze plně využít potenciál instalovaných technologií ani dosáhnout očekávaných úspor. Senzory, regulátory a řídicí jednotky umožňují sledovat aktuální stav budovy a</w:t>
            </w:r>
            <w:r>
              <w:t> podle</w:t>
            </w:r>
            <w:r w:rsidRPr="00E50844">
              <w:t xml:space="preserve"> toho automaticky řídit vytápění, chlazení, větrání, osvětlení i další systémy.</w:t>
            </w:r>
          </w:p>
        </w:tc>
        <w:tc>
          <w:tcPr>
            <w:tcW w:w="4961" w:type="dxa"/>
          </w:tcPr>
          <w:p w14:paraId="46925A8B" w14:textId="77777777" w:rsidR="00A076B4" w:rsidRPr="000550DE" w:rsidRDefault="00A076B4" w:rsidP="0008103C">
            <w:pPr>
              <w:jc w:val="both"/>
              <w:rPr>
                <w:rFonts w:cstheme="minorHAnsi"/>
              </w:rPr>
            </w:pPr>
            <w:r w:rsidRPr="000550DE">
              <w:rPr>
                <w:rFonts w:cstheme="minorHAnsi"/>
              </w:rPr>
              <w:t>V rámci novostaveb/rekonstrukcí navrhnout vždy měření a regulaci systému.</w:t>
            </w:r>
          </w:p>
        </w:tc>
        <w:tc>
          <w:tcPr>
            <w:tcW w:w="4678" w:type="dxa"/>
          </w:tcPr>
          <w:p w14:paraId="77A853E5" w14:textId="77777777" w:rsidR="00A076B4" w:rsidRDefault="00A076B4" w:rsidP="0008103C">
            <w:pPr>
              <w:jc w:val="both"/>
            </w:pPr>
            <w:r w:rsidRPr="00E50844">
              <w:t>• Kvalitní měření a regulace vyžadují pečlivý návrh a jasně definované cíle</w:t>
            </w:r>
            <w:r>
              <w:t xml:space="preserve"> </w:t>
            </w:r>
            <w:r w:rsidRPr="00E50844">
              <w:t>už ve fázi projektu.</w:t>
            </w:r>
          </w:p>
          <w:p w14:paraId="0FA76A63" w14:textId="77777777" w:rsidR="00A076B4" w:rsidRDefault="00A076B4" w:rsidP="0008103C">
            <w:pPr>
              <w:jc w:val="both"/>
            </w:pPr>
            <w:r w:rsidRPr="00E50844">
              <w:t>• Nezbytná je také odborná správa systému a</w:t>
            </w:r>
            <w:r>
              <w:t> pravidelná</w:t>
            </w:r>
            <w:r w:rsidRPr="00E50844">
              <w:t xml:space="preserve"> kontrola nastavení v průběhu provozu.</w:t>
            </w:r>
          </w:p>
          <w:p w14:paraId="24A9048D" w14:textId="77777777" w:rsidR="00A076B4" w:rsidRPr="00AF5644" w:rsidRDefault="00A076B4" w:rsidP="00A076B4">
            <w:pPr>
              <w:pStyle w:val="Odstavecseseznamem"/>
              <w:numPr>
                <w:ilvl w:val="0"/>
                <w:numId w:val="11"/>
              </w:numPr>
              <w:spacing w:line="240" w:lineRule="auto"/>
              <w:jc w:val="both"/>
              <w:rPr>
                <w:rFonts w:cstheme="minorHAnsi"/>
              </w:rPr>
            </w:pPr>
            <w:r w:rsidRPr="00AF5644">
              <w:rPr>
                <w:rFonts w:cstheme="minorHAnsi"/>
                <w:b/>
                <w:bCs/>
              </w:rPr>
              <w:t>Komplexnost a provázanost systému</w:t>
            </w:r>
            <w:r w:rsidRPr="00AF5644">
              <w:rPr>
                <w:rFonts w:cstheme="minorHAnsi"/>
              </w:rPr>
              <w:t xml:space="preserve"> – zajistit koordinované řízení všech technologií v budově, nikoliv izolovaná dílčí řešení.</w:t>
            </w:r>
          </w:p>
          <w:p w14:paraId="03204BA0" w14:textId="77777777" w:rsidR="00A076B4" w:rsidRPr="00AF5644" w:rsidRDefault="00A076B4" w:rsidP="00A076B4">
            <w:pPr>
              <w:pStyle w:val="Odstavecseseznamem"/>
              <w:numPr>
                <w:ilvl w:val="0"/>
                <w:numId w:val="11"/>
              </w:numPr>
              <w:spacing w:line="240" w:lineRule="auto"/>
              <w:jc w:val="both"/>
              <w:rPr>
                <w:rFonts w:cstheme="minorHAnsi"/>
              </w:rPr>
            </w:pPr>
            <w:r w:rsidRPr="00AF5644">
              <w:rPr>
                <w:rFonts w:cstheme="minorHAnsi"/>
                <w:b/>
                <w:bCs/>
              </w:rPr>
              <w:t>Možnost automatického řízení</w:t>
            </w:r>
            <w:r w:rsidRPr="00AF5644">
              <w:rPr>
                <w:rFonts w:cstheme="minorHAnsi"/>
              </w:rPr>
              <w:t xml:space="preserve"> – regulace podle skutečné potřeby (obsazenost, provozní režimy, časové programy).</w:t>
            </w:r>
          </w:p>
          <w:p w14:paraId="0901E7A9" w14:textId="77777777" w:rsidR="00A076B4" w:rsidRPr="00AF5644" w:rsidRDefault="00A076B4" w:rsidP="00A076B4">
            <w:pPr>
              <w:pStyle w:val="Odstavecseseznamem"/>
              <w:numPr>
                <w:ilvl w:val="0"/>
                <w:numId w:val="11"/>
              </w:numPr>
              <w:spacing w:line="240" w:lineRule="auto"/>
              <w:jc w:val="both"/>
              <w:rPr>
                <w:rFonts w:cstheme="minorHAnsi"/>
              </w:rPr>
            </w:pPr>
            <w:r w:rsidRPr="00AF5644">
              <w:rPr>
                <w:rFonts w:cstheme="minorHAnsi"/>
                <w:b/>
                <w:bCs/>
              </w:rPr>
              <w:t>Přenos dat na dispečink</w:t>
            </w:r>
            <w:r w:rsidRPr="00AF5644">
              <w:rPr>
                <w:rFonts w:cstheme="minorHAnsi"/>
              </w:rPr>
              <w:t xml:space="preserve"> – zejména u veřejných a větších objektů možnost dálkového dohledu a správy.</w:t>
            </w:r>
          </w:p>
          <w:p w14:paraId="2920EA28" w14:textId="77777777" w:rsidR="00A076B4" w:rsidRPr="00AF5644" w:rsidRDefault="00A076B4" w:rsidP="00A076B4">
            <w:pPr>
              <w:pStyle w:val="Odstavecseseznamem"/>
              <w:numPr>
                <w:ilvl w:val="0"/>
                <w:numId w:val="11"/>
              </w:numPr>
              <w:spacing w:line="240" w:lineRule="auto"/>
              <w:jc w:val="both"/>
              <w:rPr>
                <w:rFonts w:cstheme="minorHAnsi"/>
              </w:rPr>
            </w:pPr>
            <w:r w:rsidRPr="00AF5644">
              <w:rPr>
                <w:rFonts w:cstheme="minorHAnsi"/>
                <w:b/>
                <w:bCs/>
              </w:rPr>
              <w:t>Připravenost na budoucí rozšíření</w:t>
            </w:r>
            <w:r w:rsidRPr="00AF5644">
              <w:rPr>
                <w:rFonts w:cstheme="minorHAnsi"/>
              </w:rPr>
              <w:t xml:space="preserve"> – možnost napojení dalších technologií nebo rozšíření systému bez zásadních zásahů.</w:t>
            </w:r>
          </w:p>
          <w:p w14:paraId="6EC3CDFF" w14:textId="77777777" w:rsidR="00A076B4" w:rsidRPr="00AF5644" w:rsidRDefault="00A076B4" w:rsidP="00A076B4">
            <w:pPr>
              <w:pStyle w:val="Odstavecseseznamem"/>
              <w:numPr>
                <w:ilvl w:val="0"/>
                <w:numId w:val="11"/>
              </w:numPr>
              <w:spacing w:line="240" w:lineRule="auto"/>
              <w:jc w:val="both"/>
              <w:rPr>
                <w:rFonts w:cstheme="minorHAnsi"/>
              </w:rPr>
            </w:pPr>
          </w:p>
        </w:tc>
      </w:tr>
    </w:tbl>
    <w:p w14:paraId="0C89734B" w14:textId="77777777" w:rsidR="00A076B4" w:rsidRPr="00E50844" w:rsidRDefault="00A076B4" w:rsidP="00A076B4">
      <w:pPr>
        <w:spacing w:before="240" w:after="0"/>
        <w:rPr>
          <w:rFonts w:cstheme="minorHAnsi"/>
        </w:rPr>
      </w:pPr>
      <w:r w:rsidRPr="00E50844">
        <w:rPr>
          <w:rFonts w:cstheme="minorHAnsi"/>
          <w:b/>
        </w:rPr>
        <w:lastRenderedPageBreak/>
        <w:t>Připravenost budov na chytrá řešení</w:t>
      </w:r>
    </w:p>
    <w:tbl>
      <w:tblPr>
        <w:tblStyle w:val="Mkatabulky"/>
        <w:tblW w:w="0" w:type="auto"/>
        <w:tblLook w:val="04A0" w:firstRow="1" w:lastRow="0" w:firstColumn="1" w:lastColumn="0" w:noHBand="0" w:noVBand="1"/>
      </w:tblPr>
      <w:tblGrid>
        <w:gridCol w:w="13994"/>
      </w:tblGrid>
      <w:tr w:rsidR="00A076B4" w:rsidRPr="00E50844" w14:paraId="1F83A36D" w14:textId="77777777" w:rsidTr="0008103C">
        <w:tc>
          <w:tcPr>
            <w:tcW w:w="14312" w:type="dxa"/>
          </w:tcPr>
          <w:p w14:paraId="1018B926" w14:textId="77777777" w:rsidR="00A076B4" w:rsidRPr="00E50844" w:rsidRDefault="00A076B4" w:rsidP="0008103C">
            <w:pPr>
              <w:jc w:val="both"/>
              <w:rPr>
                <w:rFonts w:cstheme="minorHAnsi"/>
              </w:rPr>
            </w:pPr>
            <w:r w:rsidRPr="00E50844">
              <w:t>Budoucí vývoj směřuje k</w:t>
            </w:r>
            <w:r>
              <w:t> </w:t>
            </w:r>
            <w:r w:rsidRPr="00E50844">
              <w:t>šir</w:t>
            </w:r>
            <w:r>
              <w:t>ším</w:t>
            </w:r>
            <w:r w:rsidRPr="00E50844">
              <w:t xml:space="preserve">u využívání integrovaných technologií a </w:t>
            </w:r>
            <w:r>
              <w:t>inteligentních</w:t>
            </w:r>
            <w:r w:rsidRPr="00E50844">
              <w:t xml:space="preserve"> systémů řízení.</w:t>
            </w:r>
            <w:r w:rsidRPr="00CD0A47">
              <w:t xml:space="preserve"> I v případě dílčích oprav či částečné modernizace je proto vhodné uvažovat v širších souvislostech a provést přípravy, jejichž realizace by byla v budoucnu technicky náročnější nebo finančně výrazně nákladnější.</w:t>
            </w:r>
            <w:r w:rsidRPr="00E50844">
              <w:t xml:space="preserve"> Patří </w:t>
            </w:r>
            <w:r>
              <w:t>zde</w:t>
            </w:r>
            <w:r w:rsidRPr="00E50844">
              <w:t xml:space="preserve"> například zdvojené rozvody vody pro budoucí využití užitkové vody, vyhrazení instalačních tras pro </w:t>
            </w:r>
            <w:r>
              <w:t>FVE</w:t>
            </w:r>
            <w:r w:rsidRPr="00E50844">
              <w:t xml:space="preserve">, </w:t>
            </w:r>
            <w:r>
              <w:t xml:space="preserve">zajištění </w:t>
            </w:r>
            <w:r w:rsidRPr="00E50844">
              <w:t>prostor pro akumulaci tepla či elektřiny, přechod na nízkopotenciální otopné soustavy, předpříprav</w:t>
            </w:r>
            <w:r>
              <w:t>u</w:t>
            </w:r>
            <w:r w:rsidRPr="00E50844">
              <w:t xml:space="preserve"> datových tras pro monitor</w:t>
            </w:r>
            <w:r>
              <w:t>ing</w:t>
            </w:r>
            <w:r w:rsidRPr="00E50844">
              <w:t xml:space="preserve"> a řízení technologií nebo vybudování infrastruktury pro elektromobilitu. T</w:t>
            </w:r>
            <w:r>
              <w:t>ato</w:t>
            </w:r>
            <w:r w:rsidRPr="00E50844">
              <w:t xml:space="preserve"> opatření umožní budoucím vlastníkům a správcům budovy p</w:t>
            </w:r>
            <w:r>
              <w:t>ostupně</w:t>
            </w:r>
            <w:r w:rsidRPr="00E50844">
              <w:t xml:space="preserve"> zavádět nové technologie bez</w:t>
            </w:r>
            <w:r>
              <w:t xml:space="preserve"> nutnosti</w:t>
            </w:r>
            <w:r w:rsidRPr="00E50844">
              <w:t xml:space="preserve"> zásadních stavebních zásahů a s nižšími investičními náklady.</w:t>
            </w:r>
          </w:p>
        </w:tc>
      </w:tr>
    </w:tbl>
    <w:p w14:paraId="2340773C" w14:textId="0B95D6CA" w:rsidR="00A076B4" w:rsidRDefault="00A076B4" w:rsidP="00A076B4">
      <w:pPr>
        <w:rPr>
          <w:rFonts w:cstheme="minorHAnsi"/>
          <w:b/>
        </w:rPr>
      </w:pPr>
      <w:r>
        <w:rPr>
          <w:rFonts w:cstheme="minorHAnsi"/>
          <w:b/>
        </w:rPr>
        <w:br w:type="page"/>
      </w:r>
    </w:p>
    <w:p w14:paraId="24B4F40C" w14:textId="77777777" w:rsidR="00003BD6" w:rsidRDefault="00003BD6"/>
    <w:sectPr w:rsidR="00003BD6" w:rsidSect="00A076B4">
      <w:footerReference w:type="even" r:id="rId7"/>
      <w:footerReference w:type="default" r:id="rId8"/>
      <w:footerReference w:type="firs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33C38" w14:textId="77777777" w:rsidR="00FF1771" w:rsidRDefault="00FF1771" w:rsidP="00A076B4">
      <w:pPr>
        <w:spacing w:after="0" w:line="240" w:lineRule="auto"/>
      </w:pPr>
      <w:r>
        <w:separator/>
      </w:r>
    </w:p>
  </w:endnote>
  <w:endnote w:type="continuationSeparator" w:id="0">
    <w:p w14:paraId="6A4F46E0" w14:textId="77777777" w:rsidR="00FF1771" w:rsidRDefault="00FF1771" w:rsidP="00A07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6E024" w14:textId="4E179D28" w:rsidR="00A076B4" w:rsidRDefault="00A076B4">
    <w:pPr>
      <w:pStyle w:val="Zpat"/>
    </w:pPr>
    <w:r>
      <w:rPr>
        <w:noProof/>
        <w14:ligatures w14:val="standardContextual"/>
      </w:rPr>
      <mc:AlternateContent>
        <mc:Choice Requires="wps">
          <w:drawing>
            <wp:anchor distT="0" distB="0" distL="0" distR="0" simplePos="0" relativeHeight="251659264" behindDoc="0" locked="0" layoutInCell="1" allowOverlap="1" wp14:anchorId="7AF4D42E" wp14:editId="7C3BC54B">
              <wp:simplePos x="635" y="635"/>
              <wp:positionH relativeFrom="page">
                <wp:align>left</wp:align>
              </wp:positionH>
              <wp:positionV relativeFrom="page">
                <wp:align>bottom</wp:align>
              </wp:positionV>
              <wp:extent cx="1843405" cy="340995"/>
              <wp:effectExtent l="0" t="0" r="4445" b="0"/>
              <wp:wrapNone/>
              <wp:docPr id="927432343" name="Textové pole 2"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43405" cy="340995"/>
                      </a:xfrm>
                      <a:prstGeom prst="rect">
                        <a:avLst/>
                      </a:prstGeom>
                      <a:noFill/>
                      <a:ln>
                        <a:noFill/>
                      </a:ln>
                    </wps:spPr>
                    <wps:txbx>
                      <w:txbxContent>
                        <w:p w14:paraId="7DE37682" w14:textId="1A464919" w:rsidR="00A076B4" w:rsidRPr="00A076B4" w:rsidRDefault="00A076B4" w:rsidP="00A076B4">
                          <w:pPr>
                            <w:spacing w:after="0"/>
                            <w:rPr>
                              <w:rFonts w:ascii="Aptos" w:eastAsia="Aptos" w:hAnsi="Aptos" w:cs="Aptos"/>
                              <w:noProof/>
                              <w:color w:val="000000"/>
                              <w:sz w:val="18"/>
                              <w:szCs w:val="18"/>
                            </w:rPr>
                          </w:pPr>
                          <w:r w:rsidRPr="00A076B4">
                            <w:rPr>
                              <w:rFonts w:ascii="Aptos" w:eastAsia="Aptos" w:hAnsi="Aptos" w:cs="Aptos"/>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F4D42E" id="_x0000_t202" coordsize="21600,21600" o:spt="202" path="m,l,21600r21600,l21600,xe">
              <v:stroke joinstyle="miter"/>
              <v:path gradientshapeok="t" o:connecttype="rect"/>
            </v:shapetype>
            <v:shape id="Textové pole 2" o:spid="_x0000_s1026" type="#_x0000_t202" alt="Klasifikace informací: Neveřejné" style="position:absolute;margin-left:0;margin-top:0;width:145.15pt;height:26.8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" filled="f" stroked="f">
              <v:fill o:detectmouseclick="t"/>
              <v:textbox style="mso-fit-shape-to-text:t" inset="20pt,0,0,15pt">
                <w:txbxContent>
                  <w:p w14:paraId="7DE37682" w14:textId="1A464919" w:rsidR="00A076B4" w:rsidRPr="00A076B4" w:rsidRDefault="00A076B4" w:rsidP="00A076B4">
                    <w:pPr>
                      <w:spacing w:after="0"/>
                      <w:rPr>
                        <w:rFonts w:ascii="Aptos" w:eastAsia="Aptos" w:hAnsi="Aptos" w:cs="Aptos"/>
                        <w:noProof/>
                        <w:color w:val="000000"/>
                        <w:sz w:val="18"/>
                        <w:szCs w:val="18"/>
                      </w:rPr>
                    </w:pPr>
                    <w:r w:rsidRPr="00A076B4">
                      <w:rPr>
                        <w:rFonts w:ascii="Aptos" w:eastAsia="Aptos" w:hAnsi="Aptos" w:cs="Aptos"/>
                        <w:noProof/>
                        <w:color w:val="000000"/>
                        <w:sz w:val="18"/>
                        <w:szCs w:val="18"/>
                      </w:rPr>
                      <w:t>Klasifikace informací: Neveřejné</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D595" w14:textId="33391970" w:rsidR="00A076B4" w:rsidRDefault="00A076B4">
    <w:pPr>
      <w:pStyle w:val="Zpat"/>
    </w:pPr>
    <w:r>
      <w:rPr>
        <w:noProof/>
        <w14:ligatures w14:val="standardContextual"/>
      </w:rPr>
      <mc:AlternateContent>
        <mc:Choice Requires="wps">
          <w:drawing>
            <wp:anchor distT="0" distB="0" distL="0" distR="0" simplePos="0" relativeHeight="251660288" behindDoc="0" locked="0" layoutInCell="1" allowOverlap="1" wp14:anchorId="3091AF83" wp14:editId="36EF59EC">
              <wp:simplePos x="904875" y="6943725"/>
              <wp:positionH relativeFrom="page">
                <wp:align>left</wp:align>
              </wp:positionH>
              <wp:positionV relativeFrom="page">
                <wp:align>bottom</wp:align>
              </wp:positionV>
              <wp:extent cx="1843405" cy="340995"/>
              <wp:effectExtent l="0" t="0" r="4445" b="0"/>
              <wp:wrapNone/>
              <wp:docPr id="1756583371" name="Textové pole 3"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43405" cy="340995"/>
                      </a:xfrm>
                      <a:prstGeom prst="rect">
                        <a:avLst/>
                      </a:prstGeom>
                      <a:noFill/>
                      <a:ln>
                        <a:noFill/>
                      </a:ln>
                    </wps:spPr>
                    <wps:txbx>
                      <w:txbxContent>
                        <w:p w14:paraId="57C6C38A" w14:textId="7F48706D" w:rsidR="00A076B4" w:rsidRPr="00A076B4" w:rsidRDefault="00A076B4" w:rsidP="00A076B4">
                          <w:pPr>
                            <w:spacing w:after="0"/>
                            <w:rPr>
                              <w:rFonts w:ascii="Aptos" w:eastAsia="Aptos" w:hAnsi="Aptos" w:cs="Aptos"/>
                              <w:noProof/>
                              <w:color w:val="000000"/>
                              <w:sz w:val="18"/>
                              <w:szCs w:val="18"/>
                            </w:rPr>
                          </w:pPr>
                          <w:r w:rsidRPr="00A076B4">
                            <w:rPr>
                              <w:rFonts w:ascii="Aptos" w:eastAsia="Aptos" w:hAnsi="Aptos" w:cs="Aptos"/>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91AF83" id="_x0000_t202" coordsize="21600,21600" o:spt="202" path="m,l,21600r21600,l21600,xe">
              <v:stroke joinstyle="miter"/>
              <v:path gradientshapeok="t" o:connecttype="rect"/>
            </v:shapetype>
            <v:shape id="Textové pole 3" o:spid="_x0000_s1027" type="#_x0000_t202" alt="Klasifikace informací: Neveřejné" style="position:absolute;margin-left:0;margin-top:0;width:145.15pt;height:26.8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" filled="f" stroked="f">
              <v:fill o:detectmouseclick="t"/>
              <v:textbox style="mso-fit-shape-to-text:t" inset="20pt,0,0,15pt">
                <w:txbxContent>
                  <w:p w14:paraId="57C6C38A" w14:textId="7F48706D" w:rsidR="00A076B4" w:rsidRPr="00A076B4" w:rsidRDefault="00A076B4" w:rsidP="00A076B4">
                    <w:pPr>
                      <w:spacing w:after="0"/>
                      <w:rPr>
                        <w:rFonts w:ascii="Aptos" w:eastAsia="Aptos" w:hAnsi="Aptos" w:cs="Aptos"/>
                        <w:noProof/>
                        <w:color w:val="000000"/>
                        <w:sz w:val="18"/>
                        <w:szCs w:val="18"/>
                      </w:rPr>
                    </w:pPr>
                    <w:r w:rsidRPr="00A076B4">
                      <w:rPr>
                        <w:rFonts w:ascii="Aptos" w:eastAsia="Aptos" w:hAnsi="Aptos" w:cs="Aptos"/>
                        <w:noProof/>
                        <w:color w:val="000000"/>
                        <w:sz w:val="18"/>
                        <w:szCs w:val="18"/>
                      </w:rPr>
                      <w:t>Klasifikace informací: Neveřejné</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78A2" w14:textId="6F8CE597" w:rsidR="00A076B4" w:rsidRDefault="00A076B4">
    <w:pPr>
      <w:pStyle w:val="Zpat"/>
    </w:pPr>
    <w:r>
      <w:rPr>
        <w:noProof/>
        <w14:ligatures w14:val="standardContextual"/>
      </w:rPr>
      <mc:AlternateContent>
        <mc:Choice Requires="wps">
          <w:drawing>
            <wp:anchor distT="0" distB="0" distL="0" distR="0" simplePos="0" relativeHeight="251658240" behindDoc="0" locked="0" layoutInCell="1" allowOverlap="1" wp14:anchorId="0B50C686" wp14:editId="49DA7755">
              <wp:simplePos x="635" y="635"/>
              <wp:positionH relativeFrom="page">
                <wp:align>left</wp:align>
              </wp:positionH>
              <wp:positionV relativeFrom="page">
                <wp:align>bottom</wp:align>
              </wp:positionV>
              <wp:extent cx="1843405" cy="340995"/>
              <wp:effectExtent l="0" t="0" r="4445" b="0"/>
              <wp:wrapNone/>
              <wp:docPr id="1989022066" name="Textové pole 1"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43405" cy="340995"/>
                      </a:xfrm>
                      <a:prstGeom prst="rect">
                        <a:avLst/>
                      </a:prstGeom>
                      <a:noFill/>
                      <a:ln>
                        <a:noFill/>
                      </a:ln>
                    </wps:spPr>
                    <wps:txbx>
                      <w:txbxContent>
                        <w:p w14:paraId="7B98388E" w14:textId="19BE9753" w:rsidR="00A076B4" w:rsidRPr="00A076B4" w:rsidRDefault="00A076B4" w:rsidP="00A076B4">
                          <w:pPr>
                            <w:spacing w:after="0"/>
                            <w:rPr>
                              <w:rFonts w:ascii="Aptos" w:eastAsia="Aptos" w:hAnsi="Aptos" w:cs="Aptos"/>
                              <w:noProof/>
                              <w:color w:val="000000"/>
                              <w:sz w:val="18"/>
                              <w:szCs w:val="18"/>
                            </w:rPr>
                          </w:pPr>
                          <w:r w:rsidRPr="00A076B4">
                            <w:rPr>
                              <w:rFonts w:ascii="Aptos" w:eastAsia="Aptos" w:hAnsi="Aptos" w:cs="Aptos"/>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50C686" id="_x0000_t202" coordsize="21600,21600" o:spt="202" path="m,l,21600r21600,l21600,xe">
              <v:stroke joinstyle="miter"/>
              <v:path gradientshapeok="t" o:connecttype="rect"/>
            </v:shapetype>
            <v:shape id="Textové pole 1" o:spid="_x0000_s1028" type="#_x0000_t202" alt="Klasifikace informací: Neveřejné" style="position:absolute;margin-left:0;margin-top:0;width:145.15pt;height:26.8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" filled="f" stroked="f">
              <v:fill o:detectmouseclick="t"/>
              <v:textbox style="mso-fit-shape-to-text:t" inset="20pt,0,0,15pt">
                <w:txbxContent>
                  <w:p w14:paraId="7B98388E" w14:textId="19BE9753" w:rsidR="00A076B4" w:rsidRPr="00A076B4" w:rsidRDefault="00A076B4" w:rsidP="00A076B4">
                    <w:pPr>
                      <w:spacing w:after="0"/>
                      <w:rPr>
                        <w:rFonts w:ascii="Aptos" w:eastAsia="Aptos" w:hAnsi="Aptos" w:cs="Aptos"/>
                        <w:noProof/>
                        <w:color w:val="000000"/>
                        <w:sz w:val="18"/>
                        <w:szCs w:val="18"/>
                      </w:rPr>
                    </w:pPr>
                    <w:r w:rsidRPr="00A076B4">
                      <w:rPr>
                        <w:rFonts w:ascii="Aptos" w:eastAsia="Aptos" w:hAnsi="Aptos" w:cs="Aptos"/>
                        <w:noProof/>
                        <w:color w:val="000000"/>
                        <w:sz w:val="18"/>
                        <w:szCs w:val="18"/>
                      </w:rPr>
                      <w:t>Klasifikace informací: Neveřejné</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A0ACD" w14:textId="77777777" w:rsidR="00FF1771" w:rsidRDefault="00FF1771" w:rsidP="00A076B4">
      <w:pPr>
        <w:spacing w:after="0" w:line="240" w:lineRule="auto"/>
      </w:pPr>
      <w:r>
        <w:separator/>
      </w:r>
    </w:p>
  </w:footnote>
  <w:footnote w:type="continuationSeparator" w:id="0">
    <w:p w14:paraId="5D8B5EB4" w14:textId="77777777" w:rsidR="00FF1771" w:rsidRDefault="00FF1771" w:rsidP="00A076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54BC"/>
    <w:multiLevelType w:val="hybridMultilevel"/>
    <w:tmpl w:val="F1B443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B5801B8"/>
    <w:multiLevelType w:val="hybridMultilevel"/>
    <w:tmpl w:val="0ADCE9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31443559"/>
    <w:multiLevelType w:val="hybridMultilevel"/>
    <w:tmpl w:val="CA26CA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4466325A"/>
    <w:multiLevelType w:val="hybridMultilevel"/>
    <w:tmpl w:val="B5AC22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7484E33"/>
    <w:multiLevelType w:val="hybridMultilevel"/>
    <w:tmpl w:val="A48886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48E42301"/>
    <w:multiLevelType w:val="hybridMultilevel"/>
    <w:tmpl w:val="4E6616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1882357"/>
    <w:multiLevelType w:val="hybridMultilevel"/>
    <w:tmpl w:val="F84E8C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52AA7889"/>
    <w:multiLevelType w:val="hybridMultilevel"/>
    <w:tmpl w:val="1BBC52F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5E761224"/>
    <w:multiLevelType w:val="hybridMultilevel"/>
    <w:tmpl w:val="5B040A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5EA35775"/>
    <w:multiLevelType w:val="hybridMultilevel"/>
    <w:tmpl w:val="383484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BB23A46"/>
    <w:multiLevelType w:val="hybridMultilevel"/>
    <w:tmpl w:val="824AB7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882281940">
    <w:abstractNumId w:val="1"/>
  </w:num>
  <w:num w:numId="2" w16cid:durableId="558443798">
    <w:abstractNumId w:val="7"/>
  </w:num>
  <w:num w:numId="3" w16cid:durableId="1139303425">
    <w:abstractNumId w:val="4"/>
  </w:num>
  <w:num w:numId="4" w16cid:durableId="442113601">
    <w:abstractNumId w:val="9"/>
  </w:num>
  <w:num w:numId="5" w16cid:durableId="1330910842">
    <w:abstractNumId w:val="10"/>
  </w:num>
  <w:num w:numId="6" w16cid:durableId="1358315795">
    <w:abstractNumId w:val="5"/>
  </w:num>
  <w:num w:numId="7" w16cid:durableId="2054188948">
    <w:abstractNumId w:val="6"/>
  </w:num>
  <w:num w:numId="8" w16cid:durableId="438567313">
    <w:abstractNumId w:val="3"/>
  </w:num>
  <w:num w:numId="9" w16cid:durableId="546142005">
    <w:abstractNumId w:val="0"/>
  </w:num>
  <w:num w:numId="10" w16cid:durableId="1464690059">
    <w:abstractNumId w:val="8"/>
  </w:num>
  <w:num w:numId="11" w16cid:durableId="18632055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6B4"/>
    <w:rsid w:val="00003BD6"/>
    <w:rsid w:val="002B43DB"/>
    <w:rsid w:val="0090482E"/>
    <w:rsid w:val="00A076B4"/>
    <w:rsid w:val="00FF17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A9042"/>
  <w15:chartTrackingRefBased/>
  <w15:docId w15:val="{DAB4DE3A-D3DE-49ED-8D82-0116CC969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076B4"/>
    <w:pPr>
      <w:spacing w:line="259" w:lineRule="auto"/>
    </w:pPr>
    <w:rPr>
      <w:kern w:val="0"/>
      <w:sz w:val="22"/>
      <w:szCs w:val="22"/>
      <w14:ligatures w14:val="none"/>
    </w:rPr>
  </w:style>
  <w:style w:type="paragraph" w:styleId="Nadpis1">
    <w:name w:val="heading 1"/>
    <w:basedOn w:val="Normln"/>
    <w:next w:val="Normln"/>
    <w:link w:val="Nadpis1Char"/>
    <w:uiPriority w:val="9"/>
    <w:qFormat/>
    <w:rsid w:val="00A076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unhideWhenUsed/>
    <w:qFormat/>
    <w:rsid w:val="00A076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A076B4"/>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A076B4"/>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A076B4"/>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A076B4"/>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A076B4"/>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A076B4"/>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A076B4"/>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076B4"/>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A076B4"/>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A076B4"/>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A076B4"/>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A076B4"/>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A076B4"/>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A076B4"/>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A076B4"/>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A076B4"/>
    <w:rPr>
      <w:rFonts w:eastAsiaTheme="majorEastAsia" w:cstheme="majorBidi"/>
      <w:color w:val="272727" w:themeColor="text1" w:themeTint="D8"/>
    </w:rPr>
  </w:style>
  <w:style w:type="paragraph" w:styleId="Nzev">
    <w:name w:val="Title"/>
    <w:basedOn w:val="Normln"/>
    <w:next w:val="Normln"/>
    <w:link w:val="NzevChar"/>
    <w:uiPriority w:val="10"/>
    <w:qFormat/>
    <w:rsid w:val="00A076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A076B4"/>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A076B4"/>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A076B4"/>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A076B4"/>
    <w:pPr>
      <w:spacing w:before="160"/>
      <w:jc w:val="center"/>
    </w:pPr>
    <w:rPr>
      <w:i/>
      <w:iCs/>
      <w:color w:val="404040" w:themeColor="text1" w:themeTint="BF"/>
    </w:rPr>
  </w:style>
  <w:style w:type="character" w:customStyle="1" w:styleId="CittChar">
    <w:name w:val="Citát Char"/>
    <w:basedOn w:val="Standardnpsmoodstavce"/>
    <w:link w:val="Citt"/>
    <w:uiPriority w:val="29"/>
    <w:rsid w:val="00A076B4"/>
    <w:rPr>
      <w:i/>
      <w:iCs/>
      <w:color w:val="404040" w:themeColor="text1" w:themeTint="BF"/>
    </w:rPr>
  </w:style>
  <w:style w:type="paragraph" w:styleId="Odstavecseseznamem">
    <w:name w:val="List Paragraph"/>
    <w:basedOn w:val="Normln"/>
    <w:uiPriority w:val="34"/>
    <w:qFormat/>
    <w:rsid w:val="00A076B4"/>
    <w:pPr>
      <w:ind w:left="720"/>
      <w:contextualSpacing/>
    </w:pPr>
  </w:style>
  <w:style w:type="character" w:styleId="Zdraznnintenzivn">
    <w:name w:val="Intense Emphasis"/>
    <w:basedOn w:val="Standardnpsmoodstavce"/>
    <w:uiPriority w:val="21"/>
    <w:qFormat/>
    <w:rsid w:val="00A076B4"/>
    <w:rPr>
      <w:i/>
      <w:iCs/>
      <w:color w:val="0F4761" w:themeColor="accent1" w:themeShade="BF"/>
    </w:rPr>
  </w:style>
  <w:style w:type="paragraph" w:styleId="Vrazncitt">
    <w:name w:val="Intense Quote"/>
    <w:basedOn w:val="Normln"/>
    <w:next w:val="Normln"/>
    <w:link w:val="VrazncittChar"/>
    <w:uiPriority w:val="30"/>
    <w:qFormat/>
    <w:rsid w:val="00A076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A076B4"/>
    <w:rPr>
      <w:i/>
      <w:iCs/>
      <w:color w:val="0F4761" w:themeColor="accent1" w:themeShade="BF"/>
    </w:rPr>
  </w:style>
  <w:style w:type="character" w:styleId="Odkazintenzivn">
    <w:name w:val="Intense Reference"/>
    <w:basedOn w:val="Standardnpsmoodstavce"/>
    <w:uiPriority w:val="32"/>
    <w:qFormat/>
    <w:rsid w:val="00A076B4"/>
    <w:rPr>
      <w:b/>
      <w:bCs/>
      <w:smallCaps/>
      <w:color w:val="0F4761" w:themeColor="accent1" w:themeShade="BF"/>
      <w:spacing w:val="5"/>
    </w:rPr>
  </w:style>
  <w:style w:type="table" w:styleId="Mkatabulky">
    <w:name w:val="Table Grid"/>
    <w:basedOn w:val="Normlntabulka"/>
    <w:uiPriority w:val="39"/>
    <w:rsid w:val="00A076B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A076B4"/>
    <w:pPr>
      <w:tabs>
        <w:tab w:val="center" w:pos="4536"/>
        <w:tab w:val="right" w:pos="9072"/>
      </w:tabs>
      <w:spacing w:after="0" w:line="240" w:lineRule="auto"/>
    </w:pPr>
  </w:style>
  <w:style w:type="character" w:customStyle="1" w:styleId="ZpatChar">
    <w:name w:val="Zápatí Char"/>
    <w:basedOn w:val="Standardnpsmoodstavce"/>
    <w:link w:val="Zpat"/>
    <w:uiPriority w:val="99"/>
    <w:rsid w:val="00A076B4"/>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1641</Words>
  <Characters>10293</Characters>
  <Application>Microsoft Office Word</Application>
  <DocSecurity>0</DocSecurity>
  <Lines>332</Lines>
  <Paragraphs>135</Paragraphs>
  <ScaleCrop>false</ScaleCrop>
  <Company/>
  <LinksUpToDate>false</LinksUpToDate>
  <CharactersWithSpaces>11799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Hrabalová Marcela</dc:creator>
  <cp:keywords/>
  <dc:description/>
  <cp:lastModifiedBy>Hrabalová Marcela</cp:lastModifiedBy>
  <cp:revision>1</cp:revision>
  <dcterms:created xsi:type="dcterms:W3CDTF">2026-05-18T07:09:00Z</dcterms:created>
  <dcterms:modified xsi:type="dcterms:W3CDTF">2026-05-18T07:13:00Z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768e1172,37477e97,68b355cb</vt:lpwstr>
  </property>
  <property fmtid="{D5CDD505-2E9C-101B-9397-08002B2CF9AE}" pid="3" name="ClassificationContentMarkingFooterFontProps">
    <vt:lpwstr>#000000,9,Aptos</vt:lpwstr>
  </property>
  <property fmtid="{D5CDD505-2E9C-101B-9397-08002B2CF9AE}" pid="4" name="ClassificationContentMarkingFooterText">
    <vt:lpwstr>Klasifikace informací: Neveřejné</vt:lpwstr>
  </property>
  <property fmtid="{D5CDD505-2E9C-101B-9397-08002B2CF9AE}" pid="5" name="MSIP_Label_215ad6d0-798b-44f9-b3fd-112ad6275fb4_Enabled">
    <vt:lpwstr>true</vt:lpwstr>
  </property>
  <property fmtid="{D5CDD505-2E9C-101B-9397-08002B2CF9AE}" pid="6" name="MSIP_Label_215ad6d0-798b-44f9-b3fd-112ad6275fb4_SetDate">
    <vt:lpwstr>2026-05-18T07:13:43Z</vt:lpwstr>
  </property>
  <property fmtid="{D5CDD505-2E9C-101B-9397-08002B2CF9AE}" pid="7" name="MSIP_Label_215ad6d0-798b-44f9-b3fd-112ad6275fb4_Method">
    <vt:lpwstr>Standard</vt:lpwstr>
  </property>
  <property fmtid="{D5CDD505-2E9C-101B-9397-08002B2CF9AE}" pid="8" name="MSIP_Label_215ad6d0-798b-44f9-b3fd-112ad6275fb4_Name">
    <vt:lpwstr>Neveřejná informace (popis)</vt:lpwstr>
  </property>
  <property fmtid="{D5CDD505-2E9C-101B-9397-08002B2CF9AE}" pid="9" name="MSIP_Label_215ad6d0-798b-44f9-b3fd-112ad6275fb4_SiteId">
    <vt:lpwstr>39f24d0b-aa30-4551-8e81-43c77cf1000e</vt:lpwstr>
  </property>
  <property fmtid="{D5CDD505-2E9C-101B-9397-08002B2CF9AE}" pid="10" name="MSIP_Label_215ad6d0-798b-44f9-b3fd-112ad6275fb4_ActionId">
    <vt:lpwstr>be982607-c299-4b2c-95d4-f7ff8734468e</vt:lpwstr>
  </property>
  <property fmtid="{D5CDD505-2E9C-101B-9397-08002B2CF9AE}" pid="11" name="MSIP_Label_215ad6d0-798b-44f9-b3fd-112ad6275fb4_ContentBits">
    <vt:lpwstr>2</vt:lpwstr>
  </property>
  <property fmtid="{D5CDD505-2E9C-101B-9397-08002B2CF9AE}" pid="12" name="MSIP_Label_215ad6d0-798b-44f9-b3fd-112ad6275fb4_Tag">
    <vt:lpwstr>10, 3, 0, 1</vt:lpwstr>
  </property>
</Properties>
</file>